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
      <w:pPr>
        <w:pStyle w:val="Heading1"/>
        <w:rPr>
          <w:rFonts w:ascii="Arial" w:hAnsi="Arial" w:cs="Arial"/>
          <w:b/>
          <w:color w:val="0070C0"/>
        </w:rPr>
      </w:pPr>
      <w:bookmarkStart w:id="0" w:name="_Pupil_premium_report"/>
      <w:bookmarkEnd w:id="0"/>
      <w:r>
        <w:rPr>
          <w:rFonts w:ascii="Arial" w:hAnsi="Arial" w:cs="Arial"/>
          <w:b/>
          <w:color w:val="0070C0"/>
        </w:rPr>
        <w:t>Coronavirus (COVID-19): catch-up funding plan</w:t>
      </w:r>
    </w:p>
    <w:p>
      <w:pPr>
        <w:jc w:val="both"/>
        <w:rPr>
          <w:rFonts w:ascii="Arial" w:hAnsi="Arial" w:cs="Arial"/>
        </w:rPr>
      </w:pPr>
      <w:r>
        <w:rPr>
          <w:rFonts w:ascii="Arial" w:hAnsi="Arial" w:cs="Arial"/>
        </w:rPr>
        <w:t>The government is providing schools with £650 million of universal catch-up premium funding for the 2020/2021 academic year. The aim of the funding is to help pupils catch up on education they have missed due to the coronavirus (COVID-19) pandemic. Schools should use this funding for specific activities to support their pupils to make up for lost teaching over the previous months. The Education Endowment Foundation has released its ‘</w:t>
      </w:r>
      <w:hyperlink r:id="rId11" w:history="1">
        <w:r>
          <w:rPr>
            <w:rStyle w:val="Hyperlink"/>
            <w:rFonts w:ascii="Arial" w:hAnsi="Arial" w:cs="Arial"/>
          </w:rPr>
          <w:t>School Planning Guide 2020-21</w:t>
        </w:r>
      </w:hyperlink>
      <w:r>
        <w:rPr>
          <w:rFonts w:ascii="Arial" w:hAnsi="Arial" w:cs="Arial"/>
        </w:rPr>
        <w:t xml:space="preserve">’, which schools can use to develop their plans for the premium. </w:t>
      </w:r>
    </w:p>
    <w:p>
      <w:pPr>
        <w:jc w:val="both"/>
      </w:pPr>
      <w:r>
        <w:rPr>
          <w:rFonts w:ascii="Arial" w:hAnsi="Arial" w:cs="Arial"/>
        </w:rPr>
        <w:t>This plan enables schools to outline how they are going to invest their funding for the whole school, targeted support and wider areas, e.g. supporting parents – at the end there is a summary report to outline the overall goals of the spending. Each section of the plan outlines actions to be taken, the aim of the intervention, how much the intervention will cost, who the lead member of staff will be and any additional comments. The plan should be completed in full and sent out to all relevant stakeholders.</w:t>
      </w:r>
      <w:r>
        <w:t xml:space="preserve"> </w:t>
      </w:r>
      <w:bookmarkStart w:id="1" w:name="PPR"/>
    </w:p>
    <w:p>
      <w:pPr>
        <w:jc w:val="both"/>
      </w:pPr>
      <w:r>
        <w:rPr>
          <w:rFonts w:ascii="Arial" w:eastAsiaTheme="minorEastAsia" w:hAnsi="Arial" w:cs="Arial"/>
          <w:b/>
          <w:sz w:val="28"/>
          <w:szCs w:val="20"/>
          <w:lang w:val="en-US" w:eastAsia="ja-JP"/>
        </w:rPr>
        <w:t>Catch-up plan</w:t>
      </w:r>
    </w:p>
    <w:tbl>
      <w:tblPr>
        <w:tblStyle w:val="TableGrid"/>
        <w:tblW w:w="13237" w:type="dxa"/>
        <w:tblLook w:val="04A0" w:firstRow="1" w:lastRow="0" w:firstColumn="1" w:lastColumn="0" w:noHBand="0" w:noVBand="1"/>
      </w:tblPr>
      <w:tblGrid>
        <w:gridCol w:w="5054"/>
        <w:gridCol w:w="8183"/>
      </w:tblGrid>
      <w:tr>
        <w:trPr>
          <w:trHeight w:val="954"/>
        </w:trPr>
        <w:tc>
          <w:tcPr>
            <w:tcW w:w="5054" w:type="dxa"/>
            <w:shd w:val="clear" w:color="auto" w:fill="0070C0"/>
            <w:vAlign w:val="center"/>
          </w:tcPr>
          <w:bookmarkEnd w:id="1"/>
          <w:p>
            <w:pPr>
              <w:spacing w:before="120" w:after="120" w:line="276" w:lineRule="auto"/>
              <w:rPr>
                <w:rFonts w:ascii="Arial" w:eastAsiaTheme="minorEastAsia" w:hAnsi="Arial" w:cs="Arial"/>
                <w:b/>
                <w:lang w:val="en-US" w:eastAsia="ja-JP"/>
              </w:rPr>
            </w:pPr>
            <w:r>
              <w:rPr>
                <w:rFonts w:ascii="Arial" w:eastAsiaTheme="minorEastAsia" w:hAnsi="Arial" w:cs="Arial"/>
                <w:b/>
                <w:color w:val="FFFFFF" w:themeColor="background1"/>
                <w:lang w:val="en-US" w:eastAsia="ja-JP"/>
              </w:rPr>
              <w:t xml:space="preserve">School name: </w:t>
            </w:r>
          </w:p>
        </w:tc>
        <w:tc>
          <w:tcPr>
            <w:tcW w:w="8183" w:type="dxa"/>
            <w:vAlign w:val="center"/>
          </w:tcPr>
          <w:p>
            <w:pPr>
              <w:spacing w:before="120" w:after="120" w:line="276" w:lineRule="auto"/>
              <w:rPr>
                <w:rFonts w:ascii="Arial" w:eastAsiaTheme="minorEastAsia" w:hAnsi="Arial" w:cs="Arial"/>
                <w:b/>
                <w:lang w:val="en-US" w:eastAsia="ja-JP"/>
              </w:rPr>
            </w:pPr>
            <w:r>
              <w:rPr>
                <w:rFonts w:ascii="Arial" w:eastAsiaTheme="minorEastAsia" w:hAnsi="Arial" w:cs="Arial"/>
                <w:b/>
                <w:lang w:val="en-US" w:eastAsia="ja-JP"/>
              </w:rPr>
              <w:t xml:space="preserve"> New </w:t>
            </w:r>
            <w:proofErr w:type="spellStart"/>
            <w:r>
              <w:rPr>
                <w:rFonts w:ascii="Arial" w:eastAsiaTheme="minorEastAsia" w:hAnsi="Arial" w:cs="Arial"/>
                <w:b/>
                <w:lang w:val="en-US" w:eastAsia="ja-JP"/>
              </w:rPr>
              <w:t>Silksworth</w:t>
            </w:r>
            <w:proofErr w:type="spellEnd"/>
            <w:r>
              <w:rPr>
                <w:rFonts w:ascii="Arial" w:eastAsiaTheme="minorEastAsia" w:hAnsi="Arial" w:cs="Arial"/>
                <w:b/>
                <w:lang w:val="en-US" w:eastAsia="ja-JP"/>
              </w:rPr>
              <w:t xml:space="preserve"> Infant Academy</w:t>
            </w:r>
          </w:p>
        </w:tc>
      </w:tr>
      <w:tr>
        <w:trPr>
          <w:trHeight w:val="903"/>
        </w:trPr>
        <w:tc>
          <w:tcPr>
            <w:tcW w:w="5054" w:type="dxa"/>
            <w:shd w:val="clear" w:color="auto" w:fill="0070C0"/>
            <w:vAlign w:val="center"/>
          </w:tcPr>
          <w:p>
            <w:pPr>
              <w:spacing w:before="120" w:after="120" w:line="276" w:lineRule="auto"/>
              <w:rPr>
                <w:rFonts w:ascii="Arial" w:eastAsiaTheme="minorEastAsia" w:hAnsi="Arial" w:cs="Arial"/>
                <w:b/>
                <w:lang w:val="en-US" w:eastAsia="ja-JP"/>
              </w:rPr>
            </w:pPr>
            <w:r>
              <w:rPr>
                <w:rFonts w:ascii="Arial" w:eastAsiaTheme="minorEastAsia" w:hAnsi="Arial" w:cs="Arial"/>
                <w:b/>
                <w:color w:val="FFFFFF" w:themeColor="background1"/>
                <w:lang w:val="en-US" w:eastAsia="ja-JP"/>
              </w:rPr>
              <w:t>Academic year:</w:t>
            </w:r>
          </w:p>
        </w:tc>
        <w:tc>
          <w:tcPr>
            <w:tcW w:w="8183" w:type="dxa"/>
            <w:vAlign w:val="center"/>
          </w:tcPr>
          <w:p>
            <w:pPr>
              <w:spacing w:before="120" w:after="120" w:line="276" w:lineRule="auto"/>
              <w:rPr>
                <w:rFonts w:ascii="Arial" w:eastAsiaTheme="minorEastAsia" w:hAnsi="Arial" w:cs="Arial"/>
                <w:b/>
                <w:lang w:val="en-US" w:eastAsia="ja-JP"/>
              </w:rPr>
            </w:pPr>
            <w:r>
              <w:rPr>
                <w:rFonts w:ascii="Arial" w:eastAsiaTheme="minorEastAsia" w:hAnsi="Arial" w:cs="Arial"/>
                <w:b/>
                <w:lang w:val="en-US" w:eastAsia="ja-JP"/>
              </w:rPr>
              <w:t>2020/21</w:t>
            </w:r>
          </w:p>
        </w:tc>
      </w:tr>
      <w:tr>
        <w:trPr>
          <w:trHeight w:val="903"/>
        </w:trPr>
        <w:tc>
          <w:tcPr>
            <w:tcW w:w="5054" w:type="dxa"/>
            <w:shd w:val="clear" w:color="auto" w:fill="0070C0"/>
            <w:vAlign w:val="center"/>
          </w:tcPr>
          <w:p>
            <w:pPr>
              <w:spacing w:before="120" w:after="120" w:line="276" w:lineRule="auto"/>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Total number of pupils on roll:</w:t>
            </w:r>
          </w:p>
        </w:tc>
        <w:tc>
          <w:tcPr>
            <w:tcW w:w="8183" w:type="dxa"/>
            <w:vAlign w:val="center"/>
          </w:tcPr>
          <w:p>
            <w:pPr>
              <w:spacing w:before="120" w:after="120" w:line="276" w:lineRule="auto"/>
              <w:rPr>
                <w:rFonts w:ascii="Arial" w:eastAsiaTheme="minorEastAsia" w:hAnsi="Arial" w:cs="Arial"/>
                <w:b/>
                <w:lang w:val="en-US" w:eastAsia="ja-JP"/>
              </w:rPr>
            </w:pPr>
            <w:r>
              <w:rPr>
                <w:rFonts w:ascii="Arial" w:eastAsiaTheme="minorEastAsia" w:hAnsi="Arial" w:cs="Arial"/>
                <w:b/>
                <w:lang w:val="en-US" w:eastAsia="ja-JP"/>
              </w:rPr>
              <w:t>139 (R – Y2)</w:t>
            </w:r>
          </w:p>
        </w:tc>
      </w:tr>
      <w:tr>
        <w:trPr>
          <w:trHeight w:val="903"/>
        </w:trPr>
        <w:tc>
          <w:tcPr>
            <w:tcW w:w="5054" w:type="dxa"/>
            <w:shd w:val="clear" w:color="auto" w:fill="0070C0"/>
            <w:vAlign w:val="center"/>
          </w:tcPr>
          <w:p>
            <w:pPr>
              <w:spacing w:before="120" w:after="120" w:line="276" w:lineRule="auto"/>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Total catch-up budget:</w:t>
            </w:r>
          </w:p>
        </w:tc>
        <w:tc>
          <w:tcPr>
            <w:tcW w:w="8183" w:type="dxa"/>
            <w:vAlign w:val="center"/>
          </w:tcPr>
          <w:p>
            <w:pPr>
              <w:spacing w:before="120" w:after="120" w:line="276" w:lineRule="auto"/>
              <w:rPr>
                <w:rFonts w:ascii="Arial" w:eastAsiaTheme="minorEastAsia" w:hAnsi="Arial" w:cs="Arial"/>
                <w:b/>
                <w:lang w:val="en-US" w:eastAsia="ja-JP"/>
              </w:rPr>
            </w:pPr>
            <w:r>
              <w:rPr>
                <w:rFonts w:ascii="Arial" w:eastAsiaTheme="minorEastAsia" w:hAnsi="Arial" w:cs="Arial"/>
                <w:b/>
                <w:lang w:val="en-US" w:eastAsia="ja-JP"/>
              </w:rPr>
              <w:t>£11,120</w:t>
            </w:r>
          </w:p>
        </w:tc>
      </w:tr>
      <w:tr>
        <w:trPr>
          <w:trHeight w:val="903"/>
        </w:trPr>
        <w:tc>
          <w:tcPr>
            <w:tcW w:w="5054" w:type="dxa"/>
            <w:shd w:val="clear" w:color="auto" w:fill="0070C0"/>
            <w:vAlign w:val="center"/>
          </w:tcPr>
          <w:p>
            <w:pPr>
              <w:spacing w:before="120" w:after="120"/>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Date of review:</w:t>
            </w:r>
          </w:p>
        </w:tc>
        <w:tc>
          <w:tcPr>
            <w:tcW w:w="8183"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March 2021</w:t>
            </w:r>
          </w:p>
        </w:tc>
      </w:tr>
    </w:tbl>
    <w:p>
      <w:pPr>
        <w:rPr>
          <w:rFonts w:ascii="Arial" w:eastAsiaTheme="minorEastAsia" w:hAnsi="Arial" w:cs="Arial"/>
          <w:b/>
          <w:lang w:val="en-US" w:eastAsia="ja-JP"/>
        </w:rPr>
      </w:pPr>
    </w:p>
    <w:p>
      <w:pPr>
        <w:spacing w:before="120" w:after="120"/>
        <w:rPr>
          <w:rFonts w:ascii="Arial" w:eastAsiaTheme="minorEastAsia" w:hAnsi="Arial" w:cs="Arial"/>
          <w:b/>
          <w:sz w:val="28"/>
          <w:szCs w:val="28"/>
          <w:lang w:val="en-US" w:eastAsia="ja-JP"/>
        </w:rPr>
      </w:pPr>
    </w:p>
    <w:p>
      <w:pPr>
        <w:spacing w:before="120" w:after="120"/>
        <w:rPr>
          <w:rFonts w:ascii="Arial" w:eastAsiaTheme="minorEastAsia" w:hAnsi="Arial" w:cs="Arial"/>
          <w:b/>
          <w:sz w:val="28"/>
          <w:szCs w:val="28"/>
          <w:lang w:val="en-US" w:eastAsia="ja-JP"/>
        </w:rPr>
      </w:pPr>
      <w:r>
        <w:rPr>
          <w:rFonts w:ascii="Arial" w:eastAsiaTheme="minorEastAsia" w:hAnsi="Arial" w:cs="Arial"/>
          <w:b/>
          <w:sz w:val="28"/>
          <w:szCs w:val="28"/>
          <w:lang w:val="en-US" w:eastAsia="ja-JP"/>
        </w:rPr>
        <w:lastRenderedPageBreak/>
        <w:t xml:space="preserve">Whole school support  </w:t>
      </w:r>
    </w:p>
    <w:tbl>
      <w:tblPr>
        <w:tblStyle w:val="TableGrid"/>
        <w:tblW w:w="15314" w:type="dxa"/>
        <w:jc w:val="center"/>
        <w:tblLook w:val="04A0" w:firstRow="1" w:lastRow="0" w:firstColumn="1" w:lastColumn="0" w:noHBand="0" w:noVBand="1"/>
      </w:tblPr>
      <w:tblGrid>
        <w:gridCol w:w="1765"/>
        <w:gridCol w:w="2580"/>
        <w:gridCol w:w="2914"/>
        <w:gridCol w:w="1134"/>
        <w:gridCol w:w="3509"/>
        <w:gridCol w:w="3412"/>
      </w:tblGrid>
      <w:tr>
        <w:trPr>
          <w:trHeight w:val="775"/>
          <w:jc w:val="center"/>
        </w:trPr>
        <w:tc>
          <w:tcPr>
            <w:tcW w:w="1847"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Action</w:t>
            </w:r>
          </w:p>
        </w:tc>
        <w:tc>
          <w:tcPr>
            <w:tcW w:w="2834"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Intended outcome</w:t>
            </w:r>
          </w:p>
        </w:tc>
        <w:tc>
          <w:tcPr>
            <w:tcW w:w="3259"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Estimated impact</w:t>
            </w:r>
          </w:p>
        </w:tc>
        <w:tc>
          <w:tcPr>
            <w:tcW w:w="1129"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Cost</w:t>
            </w:r>
          </w:p>
        </w:tc>
        <w:tc>
          <w:tcPr>
            <w:tcW w:w="2408"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Staff lead</w:t>
            </w:r>
          </w:p>
        </w:tc>
        <w:tc>
          <w:tcPr>
            <w:tcW w:w="3837"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Comments</w:t>
            </w:r>
          </w:p>
        </w:tc>
      </w:tr>
      <w:tr>
        <w:trPr>
          <w:trHeight w:val="1780"/>
          <w:jc w:val="center"/>
        </w:trPr>
        <w:tc>
          <w:tcPr>
            <w:tcW w:w="1847" w:type="dxa"/>
            <w:vAlign w:val="center"/>
          </w:tcPr>
          <w:p>
            <w:pPr>
              <w:tabs>
                <w:tab w:val="left" w:pos="1560"/>
              </w:tabs>
              <w:suppressAutoHyphens/>
              <w:autoSpaceDN w:val="0"/>
              <w:textAlignment w:val="baseline"/>
              <w:rPr>
                <w:rFonts w:ascii="Arial" w:eastAsiaTheme="minorEastAsia" w:hAnsi="Arial" w:cs="Arial"/>
                <w:b/>
                <w:lang w:val="en-US" w:eastAsia="ja-JP"/>
              </w:rPr>
            </w:pPr>
            <w:r>
              <w:rPr>
                <w:rFonts w:ascii="Arial" w:eastAsiaTheme="minorEastAsia" w:hAnsi="Arial" w:cs="Arial"/>
                <w:b/>
                <w:lang w:val="en-US" w:eastAsia="ja-JP"/>
              </w:rPr>
              <w:t>Supporting great teaching:</w:t>
            </w:r>
          </w:p>
          <w:p>
            <w:pPr>
              <w:tabs>
                <w:tab w:val="left" w:pos="1560"/>
              </w:tabs>
              <w:suppressAutoHyphens/>
              <w:autoSpaceDN w:val="0"/>
              <w:textAlignment w:val="baseline"/>
              <w:rPr>
                <w:rFonts w:ascii="Arial" w:eastAsiaTheme="minorEastAsia" w:hAnsi="Arial" w:cs="Arial"/>
                <w:lang w:val="en-US" w:eastAsia="ja-JP"/>
              </w:rPr>
            </w:pPr>
            <w:r>
              <w:rPr>
                <w:rFonts w:ascii="Arial" w:eastAsiaTheme="minorEastAsia" w:hAnsi="Arial" w:cs="Arial"/>
                <w:sz w:val="20"/>
                <w:szCs w:val="20"/>
                <w:lang w:val="en-US" w:eastAsia="ja-JP"/>
              </w:rPr>
              <w:t>Provide time to release teachers to access professional development</w:t>
            </w:r>
          </w:p>
        </w:tc>
        <w:tc>
          <w:tcPr>
            <w:tcW w:w="2834" w:type="dxa"/>
            <w:vAlign w:val="center"/>
          </w:tcPr>
          <w:p>
            <w:pPr>
              <w:spacing w:before="120" w:after="120" w:line="276" w:lineRule="auto"/>
              <w:rPr>
                <w:rFonts w:ascii="Arial" w:eastAsiaTheme="minorEastAsia" w:hAnsi="Arial" w:cs="Arial"/>
                <w:b/>
                <w:sz w:val="20"/>
                <w:szCs w:val="20"/>
                <w:lang w:val="en-US" w:eastAsia="ja-JP"/>
              </w:rPr>
            </w:pPr>
            <w:r>
              <w:rPr>
                <w:rFonts w:ascii="Arial" w:eastAsiaTheme="minorEastAsia" w:hAnsi="Arial" w:cs="Arial"/>
                <w:sz w:val="20"/>
                <w:szCs w:val="20"/>
                <w:lang w:val="en-US" w:eastAsia="ja-JP"/>
              </w:rPr>
              <w:t>Teachers receive additional support in curriculum planning and using resources effectively.</w:t>
            </w:r>
          </w:p>
        </w:tc>
        <w:tc>
          <w:tcPr>
            <w:tcW w:w="3259" w:type="dxa"/>
            <w:vAlign w:val="center"/>
          </w:tcPr>
          <w:p>
            <w:pPr>
              <w:spacing w:before="120" w:after="120" w:line="276" w:lineRule="auto"/>
              <w:rPr>
                <w:rFonts w:ascii="Arial" w:eastAsiaTheme="minorEastAsia" w:hAnsi="Arial" w:cs="Arial"/>
                <w:sz w:val="20"/>
                <w:szCs w:val="20"/>
                <w:lang w:val="en-US" w:eastAsia="ja-JP"/>
              </w:rPr>
            </w:pPr>
            <w:r>
              <w:rPr>
                <w:rFonts w:ascii="Arial" w:eastAsiaTheme="minorEastAsia" w:hAnsi="Arial" w:cs="Arial"/>
                <w:sz w:val="20"/>
                <w:szCs w:val="20"/>
                <w:lang w:val="en-US" w:eastAsia="ja-JP"/>
              </w:rPr>
              <w:t>Children learning remotely will access high quality teaching with appropriate scaffolding and explicit teaching to support independent learning.</w:t>
            </w:r>
          </w:p>
        </w:tc>
        <w:tc>
          <w:tcPr>
            <w:tcW w:w="1129" w:type="dxa"/>
            <w:vAlign w:val="center"/>
          </w:tcPr>
          <w:p>
            <w:pPr>
              <w:spacing w:before="120" w:after="120"/>
              <w:rPr>
                <w:rFonts w:ascii="Arial" w:eastAsiaTheme="minorEastAsia" w:hAnsi="Arial" w:cs="Arial"/>
                <w:b/>
                <w:lang w:val="en-US" w:eastAsia="ja-JP"/>
              </w:rPr>
            </w:pPr>
          </w:p>
        </w:tc>
        <w:tc>
          <w:tcPr>
            <w:tcW w:w="2408"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Robins</w:t>
            </w:r>
          </w:p>
          <w:p>
            <w:pPr>
              <w:spacing w:before="120" w:after="120"/>
              <w:rPr>
                <w:rFonts w:ascii="Arial" w:eastAsiaTheme="minorEastAsia" w:hAnsi="Arial" w:cs="Arial"/>
                <w:sz w:val="16"/>
                <w:szCs w:val="16"/>
                <w:lang w:val="en-US" w:eastAsia="ja-JP"/>
              </w:rPr>
            </w:pPr>
            <w:hyperlink r:id="rId12" w:history="1">
              <w:r>
                <w:rPr>
                  <w:rStyle w:val="Hyperlink"/>
                  <w:rFonts w:ascii="Arial" w:eastAsiaTheme="minorEastAsia" w:hAnsi="Arial" w:cs="Arial"/>
                  <w:sz w:val="16"/>
                  <w:szCs w:val="16"/>
                  <w:lang w:val="en-US" w:eastAsia="ja-JP"/>
                </w:rPr>
                <w:t>headteacher@newsilksworthacademy.co.uk</w:t>
              </w:r>
            </w:hyperlink>
          </w:p>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w:t>
            </w:r>
            <w:proofErr w:type="spellStart"/>
            <w:r>
              <w:rPr>
                <w:rFonts w:ascii="Arial" w:eastAsiaTheme="minorEastAsia" w:hAnsi="Arial" w:cs="Arial"/>
                <w:b/>
                <w:lang w:val="en-US" w:eastAsia="ja-JP"/>
              </w:rPr>
              <w:t>Mincher</w:t>
            </w:r>
            <w:proofErr w:type="spellEnd"/>
          </w:p>
          <w:p>
            <w:pPr>
              <w:spacing w:before="120" w:after="120"/>
              <w:rPr>
                <w:rFonts w:ascii="Arial" w:eastAsiaTheme="minorEastAsia" w:hAnsi="Arial" w:cs="Arial"/>
                <w:sz w:val="16"/>
                <w:szCs w:val="16"/>
                <w:lang w:val="en-US" w:eastAsia="ja-JP"/>
              </w:rPr>
            </w:pPr>
            <w:hyperlink r:id="rId13" w:history="1">
              <w:r>
                <w:rPr>
                  <w:rStyle w:val="Hyperlink"/>
                  <w:rFonts w:ascii="Arial" w:eastAsiaTheme="minorEastAsia" w:hAnsi="Arial" w:cs="Arial"/>
                  <w:sz w:val="16"/>
                  <w:szCs w:val="16"/>
                  <w:lang w:val="en-US" w:eastAsia="ja-JP"/>
                </w:rPr>
                <w:t>Sarah.mincher@newsilksworthacademy.co.uk</w:t>
              </w:r>
            </w:hyperlink>
          </w:p>
          <w:p>
            <w:pPr>
              <w:spacing w:before="120" w:after="120"/>
              <w:rPr>
                <w:rFonts w:ascii="Arial" w:eastAsiaTheme="minorEastAsia" w:hAnsi="Arial" w:cs="Arial"/>
                <w:sz w:val="16"/>
                <w:szCs w:val="16"/>
                <w:lang w:val="en-US" w:eastAsia="ja-JP"/>
              </w:rPr>
            </w:pPr>
          </w:p>
        </w:tc>
        <w:tc>
          <w:tcPr>
            <w:tcW w:w="3837" w:type="dxa"/>
            <w:vAlign w:val="center"/>
          </w:tcPr>
          <w:p>
            <w:pPr>
              <w:spacing w:before="120" w:after="120"/>
              <w:rPr>
                <w:rFonts w:ascii="Arial" w:eastAsiaTheme="minorEastAsia" w:hAnsi="Arial" w:cs="Arial"/>
                <w:b/>
                <w:sz w:val="18"/>
                <w:szCs w:val="18"/>
                <w:lang w:val="en-US" w:eastAsia="ja-JP"/>
              </w:rPr>
            </w:pPr>
            <w:r>
              <w:rPr>
                <w:rFonts w:ascii="Arial" w:hAnsi="Arial" w:cs="Arial"/>
                <w:sz w:val="18"/>
                <w:szCs w:val="18"/>
              </w:rPr>
              <w:t>The EEF's rapid evidence assessment on remote learning (April 2020) found that it was the components that define effective teaching, such as clear explanations and scaffolding, that should be our focus for planning to further improve teaching in the upcoming academic year.</w:t>
            </w:r>
          </w:p>
        </w:tc>
      </w:tr>
      <w:tr>
        <w:trPr>
          <w:trHeight w:val="1788"/>
          <w:jc w:val="center"/>
        </w:trPr>
        <w:tc>
          <w:tcPr>
            <w:tcW w:w="1847"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Supporting remote learning:</w:t>
            </w:r>
          </w:p>
          <w:p>
            <w:pPr>
              <w:spacing w:before="120" w:after="120"/>
              <w:rPr>
                <w:rFonts w:ascii="Arial" w:eastAsiaTheme="minorEastAsia" w:hAnsi="Arial" w:cs="Arial"/>
                <w:b/>
                <w:lang w:val="en-US" w:eastAsia="ja-JP"/>
              </w:rPr>
            </w:pPr>
            <w:r>
              <w:rPr>
                <w:rFonts w:ascii="Arial" w:eastAsiaTheme="minorEastAsia" w:hAnsi="Arial" w:cs="Arial"/>
                <w:b/>
                <w:lang w:val="en-US" w:eastAsia="ja-JP"/>
              </w:rPr>
              <w:t xml:space="preserve">Power </w:t>
            </w:r>
            <w:proofErr w:type="spellStart"/>
            <w:r>
              <w:rPr>
                <w:rFonts w:ascii="Arial" w:eastAsiaTheme="minorEastAsia" w:hAnsi="Arial" w:cs="Arial"/>
                <w:b/>
                <w:lang w:val="en-US" w:eastAsia="ja-JP"/>
              </w:rPr>
              <w:t>Maths</w:t>
            </w:r>
            <w:proofErr w:type="spellEnd"/>
          </w:p>
        </w:tc>
        <w:tc>
          <w:tcPr>
            <w:tcW w:w="2834" w:type="dxa"/>
            <w:vAlign w:val="center"/>
          </w:tcPr>
          <w:p>
            <w:pPr>
              <w:spacing w:before="120" w:after="120"/>
              <w:rPr>
                <w:rFonts w:ascii="Arial" w:eastAsiaTheme="minorEastAsia" w:hAnsi="Arial" w:cs="Arial"/>
                <w:sz w:val="20"/>
                <w:szCs w:val="20"/>
                <w:lang w:val="en-US" w:eastAsia="ja-JP"/>
              </w:rPr>
            </w:pPr>
            <w:r>
              <w:rPr>
                <w:rFonts w:ascii="Arial" w:eastAsiaTheme="minorEastAsia" w:hAnsi="Arial" w:cs="Arial"/>
                <w:sz w:val="20"/>
                <w:szCs w:val="20"/>
                <w:lang w:val="en-US" w:eastAsia="ja-JP"/>
              </w:rPr>
              <w:t>The online toolkit provides all the digital resources needed to support whole-class teaching.</w:t>
            </w:r>
          </w:p>
        </w:tc>
        <w:tc>
          <w:tcPr>
            <w:tcW w:w="3259" w:type="dxa"/>
            <w:vAlign w:val="center"/>
          </w:tcPr>
          <w:p>
            <w:pPr>
              <w:shd w:val="clear" w:color="auto" w:fill="F5F5F5"/>
              <w:jc w:val="both"/>
              <w:rPr>
                <w:rFonts w:ascii="Arial" w:eastAsiaTheme="minorEastAsia" w:hAnsi="Arial" w:cs="Arial"/>
                <w:sz w:val="20"/>
                <w:szCs w:val="20"/>
                <w:lang w:val="en-US" w:eastAsia="ja-JP"/>
              </w:rPr>
            </w:pPr>
            <w:r>
              <w:rPr>
                <w:rFonts w:ascii="Arial" w:eastAsiaTheme="minorEastAsia" w:hAnsi="Arial" w:cs="Arial"/>
                <w:sz w:val="20"/>
                <w:szCs w:val="20"/>
                <w:lang w:val="en-US" w:eastAsia="ja-JP"/>
              </w:rPr>
              <w:t xml:space="preserve">Power </w:t>
            </w:r>
            <w:proofErr w:type="spellStart"/>
            <w:r>
              <w:rPr>
                <w:rFonts w:ascii="Arial" w:eastAsiaTheme="minorEastAsia" w:hAnsi="Arial" w:cs="Arial"/>
                <w:sz w:val="20"/>
                <w:szCs w:val="20"/>
                <w:lang w:val="en-US" w:eastAsia="ja-JP"/>
              </w:rPr>
              <w:t>Maths</w:t>
            </w:r>
            <w:proofErr w:type="spellEnd"/>
            <w:r>
              <w:rPr>
                <w:rFonts w:ascii="Arial" w:eastAsiaTheme="minorEastAsia" w:hAnsi="Arial" w:cs="Arial"/>
                <w:sz w:val="20"/>
                <w:szCs w:val="20"/>
                <w:lang w:val="en-US" w:eastAsia="ja-JP"/>
              </w:rPr>
              <w:t xml:space="preserve"> will spark curiosity and excitement and nurture confidence in </w:t>
            </w:r>
            <w:proofErr w:type="spellStart"/>
            <w:r>
              <w:rPr>
                <w:rFonts w:ascii="Arial" w:eastAsiaTheme="minorEastAsia" w:hAnsi="Arial" w:cs="Arial"/>
                <w:sz w:val="20"/>
                <w:szCs w:val="20"/>
                <w:lang w:val="en-US" w:eastAsia="ja-JP"/>
              </w:rPr>
              <w:t>Maths</w:t>
            </w:r>
            <w:proofErr w:type="spellEnd"/>
          </w:p>
          <w:p>
            <w:pPr>
              <w:spacing w:before="120" w:after="120"/>
              <w:rPr>
                <w:rFonts w:ascii="Arial" w:eastAsiaTheme="minorEastAsia" w:hAnsi="Arial" w:cs="Arial"/>
                <w:sz w:val="16"/>
                <w:szCs w:val="16"/>
                <w:lang w:val="en-US" w:eastAsia="ja-JP"/>
              </w:rPr>
            </w:pPr>
            <w:r>
              <w:rPr>
                <w:rFonts w:ascii="Arial" w:eastAsiaTheme="minorEastAsia" w:hAnsi="Arial" w:cs="Arial"/>
                <w:sz w:val="20"/>
                <w:szCs w:val="20"/>
                <w:lang w:val="en-US" w:eastAsia="ja-JP"/>
              </w:rPr>
              <w:t xml:space="preserve">Power </w:t>
            </w:r>
            <w:proofErr w:type="spellStart"/>
            <w:r>
              <w:rPr>
                <w:rFonts w:ascii="Arial" w:eastAsiaTheme="minorEastAsia" w:hAnsi="Arial" w:cs="Arial"/>
                <w:sz w:val="20"/>
                <w:szCs w:val="20"/>
                <w:lang w:val="en-US" w:eastAsia="ja-JP"/>
              </w:rPr>
              <w:t>Maths</w:t>
            </w:r>
            <w:proofErr w:type="spellEnd"/>
            <w:r>
              <w:rPr>
                <w:rFonts w:ascii="Arial" w:eastAsiaTheme="minorEastAsia" w:hAnsi="Arial" w:cs="Arial"/>
                <w:sz w:val="20"/>
                <w:szCs w:val="20"/>
                <w:lang w:val="en-US" w:eastAsia="ja-JP"/>
              </w:rPr>
              <w:t xml:space="preserve"> Reception brings the core concepts of mastery to the littlest learners.</w:t>
            </w:r>
          </w:p>
        </w:tc>
        <w:tc>
          <w:tcPr>
            <w:tcW w:w="1129"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£1951.86</w:t>
            </w:r>
          </w:p>
        </w:tc>
        <w:tc>
          <w:tcPr>
            <w:tcW w:w="2408"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Seaman</w:t>
            </w:r>
          </w:p>
          <w:p>
            <w:pPr>
              <w:spacing w:before="120" w:after="120"/>
              <w:rPr>
                <w:rFonts w:ascii="Arial" w:eastAsiaTheme="minorEastAsia" w:hAnsi="Arial" w:cs="Arial"/>
                <w:sz w:val="16"/>
                <w:szCs w:val="16"/>
                <w:lang w:val="en-US" w:eastAsia="ja-JP"/>
              </w:rPr>
            </w:pPr>
            <w:hyperlink r:id="rId14" w:history="1">
              <w:r>
                <w:rPr>
                  <w:rStyle w:val="Hyperlink"/>
                  <w:rFonts w:ascii="Arial" w:eastAsiaTheme="minorEastAsia" w:hAnsi="Arial" w:cs="Arial"/>
                  <w:sz w:val="16"/>
                  <w:szCs w:val="16"/>
                  <w:lang w:val="en-US" w:eastAsia="ja-JP"/>
                </w:rPr>
                <w:t>emma.seaman@newsilksworthacademy.co.uk</w:t>
              </w:r>
            </w:hyperlink>
          </w:p>
          <w:p>
            <w:pPr>
              <w:spacing w:before="120" w:after="120"/>
              <w:rPr>
                <w:rFonts w:ascii="Arial" w:eastAsiaTheme="minorEastAsia" w:hAnsi="Arial" w:cs="Arial"/>
                <w:sz w:val="16"/>
                <w:szCs w:val="16"/>
                <w:lang w:val="en-US" w:eastAsia="ja-JP"/>
              </w:rPr>
            </w:pPr>
          </w:p>
        </w:tc>
        <w:tc>
          <w:tcPr>
            <w:tcW w:w="3837" w:type="dxa"/>
            <w:vAlign w:val="center"/>
          </w:tcPr>
          <w:p>
            <w:pPr>
              <w:shd w:val="clear" w:color="auto" w:fill="F5F5F5"/>
              <w:jc w:val="both"/>
              <w:rPr>
                <w:rFonts w:ascii="Arial" w:eastAsia="Times New Roman" w:hAnsi="Arial" w:cs="Arial"/>
                <w:color w:val="333333"/>
                <w:sz w:val="18"/>
                <w:szCs w:val="18"/>
                <w:lang w:eastAsia="en-GB"/>
              </w:rPr>
            </w:pPr>
            <w:r>
              <w:rPr>
                <w:rFonts w:ascii="Arial" w:eastAsia="Times New Roman" w:hAnsi="Arial" w:cs="Arial"/>
                <w:color w:val="333333"/>
                <w:sz w:val="18"/>
                <w:szCs w:val="18"/>
                <w:lang w:eastAsia="en-GB"/>
              </w:rPr>
              <w:t>Built around a child</w:t>
            </w:r>
            <w:r>
              <w:rPr>
                <w:rFonts w:ascii="Arial" w:eastAsia="Times New Roman" w:hAnsi="Arial" w:cs="Arial"/>
                <w:color w:val="333333"/>
                <w:sz w:val="18"/>
                <w:szCs w:val="18"/>
                <w:lang w:eastAsia="en-GB"/>
              </w:rPr>
              <w:noBreakHyphen/>
              <w:t>centred lesson design that models and embeds a growth mindset approach to maths and focuses on helping all children to build a deep understanding of maths concepts. </w:t>
            </w:r>
          </w:p>
        </w:tc>
      </w:tr>
      <w:tr>
        <w:trPr>
          <w:trHeight w:val="1261"/>
          <w:jc w:val="center"/>
        </w:trPr>
        <w:tc>
          <w:tcPr>
            <w:tcW w:w="1847"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Supporting remote learning:</w:t>
            </w:r>
          </w:p>
          <w:p>
            <w:pPr>
              <w:spacing w:before="120" w:after="120"/>
              <w:rPr>
                <w:rFonts w:ascii="Arial" w:eastAsiaTheme="minorEastAsia" w:hAnsi="Arial" w:cs="Arial"/>
                <w:b/>
                <w:lang w:val="en-US" w:eastAsia="ja-JP"/>
              </w:rPr>
            </w:pPr>
            <w:r>
              <w:rPr>
                <w:rFonts w:ascii="Arial" w:eastAsiaTheme="minorEastAsia" w:hAnsi="Arial" w:cs="Arial"/>
                <w:b/>
                <w:lang w:val="en-US" w:eastAsia="ja-JP"/>
              </w:rPr>
              <w:t>Power Jam</w:t>
            </w:r>
          </w:p>
        </w:tc>
        <w:tc>
          <w:tcPr>
            <w:tcW w:w="2834" w:type="dxa"/>
            <w:vAlign w:val="center"/>
          </w:tcPr>
          <w:p>
            <w:pPr>
              <w:shd w:val="clear" w:color="auto" w:fill="F5F5F5"/>
              <w:jc w:val="both"/>
              <w:rPr>
                <w:rFonts w:ascii="Arial" w:eastAsiaTheme="minorEastAsia" w:hAnsi="Arial" w:cs="Arial"/>
                <w:sz w:val="20"/>
                <w:szCs w:val="20"/>
                <w:lang w:val="en-US" w:eastAsia="ja-JP"/>
              </w:rPr>
            </w:pPr>
            <w:r>
              <w:rPr>
                <w:rFonts w:ascii="Arial" w:eastAsiaTheme="minorEastAsia" w:hAnsi="Arial" w:cs="Arial"/>
                <w:sz w:val="20"/>
                <w:szCs w:val="20"/>
                <w:lang w:val="en-US" w:eastAsia="ja-JP"/>
              </w:rPr>
              <w:t>An effective learning app that children can use at any time on a device at home to practice and apply mathematical skills.</w:t>
            </w:r>
          </w:p>
        </w:tc>
        <w:tc>
          <w:tcPr>
            <w:tcW w:w="3259" w:type="dxa"/>
            <w:vAlign w:val="center"/>
          </w:tcPr>
          <w:p>
            <w:pPr>
              <w:spacing w:before="120" w:after="120"/>
              <w:rPr>
                <w:rFonts w:ascii="Arial" w:eastAsiaTheme="minorEastAsia" w:hAnsi="Arial" w:cs="Arial"/>
                <w:sz w:val="20"/>
                <w:szCs w:val="20"/>
                <w:lang w:val="en-US" w:eastAsia="ja-JP"/>
              </w:rPr>
            </w:pPr>
            <w:r>
              <w:rPr>
                <w:rFonts w:ascii="Arial" w:eastAsiaTheme="minorEastAsia" w:hAnsi="Arial" w:cs="Arial"/>
                <w:sz w:val="20"/>
                <w:szCs w:val="20"/>
                <w:lang w:val="en-US" w:eastAsia="ja-JP"/>
              </w:rPr>
              <w:t xml:space="preserve">Children’s confidence in </w:t>
            </w:r>
            <w:proofErr w:type="spellStart"/>
            <w:r>
              <w:rPr>
                <w:rFonts w:ascii="Arial" w:eastAsiaTheme="minorEastAsia" w:hAnsi="Arial" w:cs="Arial"/>
                <w:sz w:val="20"/>
                <w:szCs w:val="20"/>
                <w:lang w:val="en-US" w:eastAsia="ja-JP"/>
              </w:rPr>
              <w:t>Maths</w:t>
            </w:r>
            <w:proofErr w:type="spellEnd"/>
            <w:r>
              <w:rPr>
                <w:rFonts w:ascii="Arial" w:eastAsiaTheme="minorEastAsia" w:hAnsi="Arial" w:cs="Arial"/>
                <w:sz w:val="20"/>
                <w:szCs w:val="20"/>
                <w:lang w:val="en-US" w:eastAsia="ja-JP"/>
              </w:rPr>
              <w:t xml:space="preserve"> will grow.</w:t>
            </w:r>
          </w:p>
        </w:tc>
        <w:tc>
          <w:tcPr>
            <w:tcW w:w="1129"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£750</w:t>
            </w:r>
          </w:p>
        </w:tc>
        <w:tc>
          <w:tcPr>
            <w:tcW w:w="2408"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Seaman</w:t>
            </w:r>
          </w:p>
          <w:p>
            <w:pPr>
              <w:spacing w:before="120" w:after="120"/>
              <w:rPr>
                <w:rFonts w:ascii="Arial" w:eastAsiaTheme="minorEastAsia" w:hAnsi="Arial" w:cs="Arial"/>
                <w:sz w:val="16"/>
                <w:szCs w:val="16"/>
                <w:lang w:val="en-US" w:eastAsia="ja-JP"/>
              </w:rPr>
            </w:pPr>
            <w:hyperlink r:id="rId15" w:history="1">
              <w:r>
                <w:rPr>
                  <w:rStyle w:val="Hyperlink"/>
                  <w:rFonts w:ascii="Arial" w:eastAsiaTheme="minorEastAsia" w:hAnsi="Arial" w:cs="Arial"/>
                  <w:sz w:val="16"/>
                  <w:szCs w:val="16"/>
                  <w:lang w:val="en-US" w:eastAsia="ja-JP"/>
                </w:rPr>
                <w:t>emma.seaman@newsilksworthacademy.co.uk</w:t>
              </w:r>
            </w:hyperlink>
          </w:p>
          <w:p>
            <w:pPr>
              <w:spacing w:before="120" w:after="120"/>
              <w:rPr>
                <w:rFonts w:ascii="Arial" w:eastAsiaTheme="minorEastAsia" w:hAnsi="Arial" w:cs="Arial"/>
                <w:b/>
                <w:lang w:val="en-US" w:eastAsia="ja-JP"/>
              </w:rPr>
            </w:pPr>
          </w:p>
        </w:tc>
        <w:tc>
          <w:tcPr>
            <w:tcW w:w="3837" w:type="dxa"/>
            <w:vAlign w:val="center"/>
          </w:tcPr>
          <w:p>
            <w:pPr>
              <w:spacing w:before="120" w:after="120"/>
              <w:rPr>
                <w:rFonts w:ascii="Arial" w:eastAsiaTheme="minorEastAsia" w:hAnsi="Arial" w:cs="Arial"/>
                <w:b/>
                <w:lang w:val="en-US" w:eastAsia="ja-JP"/>
              </w:rPr>
            </w:pPr>
          </w:p>
        </w:tc>
      </w:tr>
      <w:tr>
        <w:trPr>
          <w:trHeight w:val="1411"/>
          <w:jc w:val="center"/>
        </w:trPr>
        <w:tc>
          <w:tcPr>
            <w:tcW w:w="1847"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Supporting remote learning:</w:t>
            </w:r>
          </w:p>
          <w:p>
            <w:pPr>
              <w:spacing w:before="120" w:after="120"/>
              <w:rPr>
                <w:rFonts w:ascii="Arial" w:eastAsiaTheme="minorEastAsia" w:hAnsi="Arial" w:cs="Arial"/>
                <w:b/>
                <w:lang w:val="en-US" w:eastAsia="ja-JP"/>
              </w:rPr>
            </w:pPr>
            <w:r>
              <w:rPr>
                <w:rFonts w:ascii="Arial" w:eastAsiaTheme="minorEastAsia" w:hAnsi="Arial" w:cs="Arial"/>
                <w:b/>
                <w:lang w:val="en-US" w:eastAsia="ja-JP"/>
              </w:rPr>
              <w:t>Reading Plus</w:t>
            </w:r>
          </w:p>
        </w:tc>
        <w:tc>
          <w:tcPr>
            <w:tcW w:w="2834" w:type="dxa"/>
            <w:vAlign w:val="center"/>
          </w:tcPr>
          <w:p>
            <w:pPr>
              <w:spacing w:before="120" w:after="120"/>
              <w:rPr>
                <w:rFonts w:ascii="Arial" w:eastAsiaTheme="minorEastAsia" w:hAnsi="Arial" w:cs="Arial"/>
                <w:sz w:val="20"/>
                <w:szCs w:val="20"/>
                <w:lang w:val="en-US" w:eastAsia="ja-JP"/>
              </w:rPr>
            </w:pPr>
            <w:r>
              <w:rPr>
                <w:rFonts w:ascii="Arial" w:eastAsiaTheme="minorEastAsia" w:hAnsi="Arial" w:cs="Arial"/>
                <w:sz w:val="20"/>
                <w:szCs w:val="20"/>
                <w:lang w:val="en-US" w:eastAsia="ja-JP"/>
              </w:rPr>
              <w:t>An effective online reading resource for children to use daily to develop reading efficiency.</w:t>
            </w:r>
          </w:p>
        </w:tc>
        <w:tc>
          <w:tcPr>
            <w:tcW w:w="3259" w:type="dxa"/>
            <w:vAlign w:val="center"/>
          </w:tcPr>
          <w:p>
            <w:pPr>
              <w:spacing w:before="120" w:after="120"/>
              <w:rPr>
                <w:rFonts w:ascii="Arial" w:eastAsiaTheme="minorEastAsia" w:hAnsi="Arial" w:cs="Arial"/>
                <w:sz w:val="20"/>
                <w:szCs w:val="20"/>
                <w:lang w:val="en-US" w:eastAsia="ja-JP"/>
              </w:rPr>
            </w:pPr>
            <w:r>
              <w:rPr>
                <w:rFonts w:ascii="Arial" w:eastAsiaTheme="minorEastAsia" w:hAnsi="Arial" w:cs="Arial"/>
                <w:sz w:val="20"/>
                <w:szCs w:val="20"/>
                <w:lang w:val="en-US" w:eastAsia="ja-JP"/>
              </w:rPr>
              <w:t>More children will become fluent readers and be motivated to read. Children will become efficient readers, developing their reading ability.</w:t>
            </w:r>
          </w:p>
        </w:tc>
        <w:tc>
          <w:tcPr>
            <w:tcW w:w="1129"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£1046.05</w:t>
            </w:r>
          </w:p>
        </w:tc>
        <w:tc>
          <w:tcPr>
            <w:tcW w:w="2408"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Ridley</w:t>
            </w:r>
          </w:p>
          <w:p>
            <w:pPr>
              <w:spacing w:before="120" w:after="120"/>
              <w:rPr>
                <w:rFonts w:ascii="Arial" w:eastAsiaTheme="minorEastAsia" w:hAnsi="Arial" w:cs="Arial"/>
                <w:sz w:val="16"/>
                <w:szCs w:val="16"/>
                <w:lang w:val="en-US" w:eastAsia="ja-JP"/>
              </w:rPr>
            </w:pPr>
            <w:hyperlink r:id="rId16" w:history="1">
              <w:r>
                <w:rPr>
                  <w:rStyle w:val="Hyperlink"/>
                  <w:rFonts w:ascii="Arial" w:eastAsiaTheme="minorEastAsia" w:hAnsi="Arial" w:cs="Arial"/>
                  <w:sz w:val="16"/>
                  <w:szCs w:val="16"/>
                  <w:lang w:val="en-US" w:eastAsia="ja-JP"/>
                </w:rPr>
                <w:t>debra.ridley@newsilksworthacademy.co.uk</w:t>
              </w:r>
            </w:hyperlink>
          </w:p>
          <w:p>
            <w:pPr>
              <w:spacing w:before="120" w:after="120"/>
              <w:rPr>
                <w:rFonts w:ascii="Arial" w:eastAsiaTheme="minorEastAsia" w:hAnsi="Arial" w:cs="Arial"/>
                <w:sz w:val="16"/>
                <w:szCs w:val="16"/>
                <w:lang w:val="en-US" w:eastAsia="ja-JP"/>
              </w:rPr>
            </w:pPr>
          </w:p>
        </w:tc>
        <w:tc>
          <w:tcPr>
            <w:tcW w:w="3837" w:type="dxa"/>
            <w:tcBorders>
              <w:bottom w:val="single" w:sz="4" w:space="0" w:color="auto"/>
            </w:tcBorders>
            <w:vAlign w:val="center"/>
          </w:tcPr>
          <w:p>
            <w:pPr>
              <w:spacing w:before="120" w:after="120"/>
              <w:rPr>
                <w:rFonts w:ascii="Arial" w:eastAsiaTheme="minorEastAsia" w:hAnsi="Arial" w:cs="Arial"/>
                <w:b/>
                <w:sz w:val="18"/>
                <w:szCs w:val="18"/>
                <w:lang w:val="en-US" w:eastAsia="ja-JP"/>
              </w:rPr>
            </w:pPr>
            <w:r>
              <w:rPr>
                <w:rFonts w:ascii="Arial" w:hAnsi="Arial" w:cs="Arial"/>
                <w:sz w:val="18"/>
                <w:szCs w:val="18"/>
              </w:rPr>
              <w:t>Reading efficiency is a critical component of reading proficiency. An efficient reading process is fluent and feels easy and comfortable. Efficient readers can read for extended periods of time with good comprehension because they expend little energy on the mechanics of reading. Mental resources are focused on making meaning from text.</w:t>
            </w:r>
          </w:p>
        </w:tc>
      </w:tr>
      <w:tr>
        <w:trPr>
          <w:trHeight w:val="136"/>
          <w:jc w:val="center"/>
        </w:trPr>
        <w:tc>
          <w:tcPr>
            <w:tcW w:w="7940" w:type="dxa"/>
            <w:gridSpan w:val="3"/>
            <w:shd w:val="clear" w:color="auto" w:fill="0070C0"/>
            <w:vAlign w:val="center"/>
          </w:tcPr>
          <w:p>
            <w:pPr>
              <w:spacing w:before="120" w:after="120"/>
              <w:jc w:val="right"/>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Total spend:</w:t>
            </w:r>
          </w:p>
        </w:tc>
        <w:tc>
          <w:tcPr>
            <w:tcW w:w="7374" w:type="dxa"/>
            <w:gridSpan w:val="3"/>
            <w:shd w:val="clear" w:color="auto" w:fill="FFFFFF" w:themeFill="background1"/>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£ 3747.91</w:t>
            </w:r>
          </w:p>
        </w:tc>
      </w:tr>
    </w:tbl>
    <w:p>
      <w:pPr>
        <w:spacing w:after="120"/>
        <w:rPr>
          <w:rFonts w:ascii="Arial" w:hAnsi="Arial" w:cs="Arial"/>
          <w:b/>
          <w:sz w:val="28"/>
          <w:szCs w:val="20"/>
          <w:lang w:val="en-US" w:eastAsia="ja-JP"/>
        </w:rPr>
      </w:pPr>
    </w:p>
    <w:p>
      <w:pPr>
        <w:spacing w:after="120"/>
        <w:rPr>
          <w:rFonts w:ascii="Arial" w:hAnsi="Arial" w:cs="Arial"/>
          <w:b/>
          <w:sz w:val="28"/>
          <w:szCs w:val="20"/>
          <w:lang w:val="en-US" w:eastAsia="ja-JP"/>
        </w:rPr>
      </w:pPr>
      <w:r>
        <w:rPr>
          <w:rFonts w:ascii="Arial" w:hAnsi="Arial" w:cs="Arial"/>
          <w:b/>
          <w:sz w:val="28"/>
          <w:szCs w:val="20"/>
          <w:lang w:val="en-US" w:eastAsia="ja-JP"/>
        </w:rPr>
        <w:lastRenderedPageBreak/>
        <w:t xml:space="preserve">Targeted support </w:t>
      </w:r>
    </w:p>
    <w:p>
      <w:pPr>
        <w:spacing w:after="120"/>
        <w:rPr>
          <w:rFonts w:ascii="Arial" w:hAnsi="Arial" w:cs="Arial"/>
          <w:b/>
          <w:sz w:val="28"/>
          <w:szCs w:val="20"/>
          <w:lang w:val="en-US" w:eastAsia="ja-JP"/>
        </w:rPr>
      </w:pPr>
    </w:p>
    <w:tbl>
      <w:tblPr>
        <w:tblStyle w:val="TableGrid"/>
        <w:tblW w:w="15173" w:type="dxa"/>
        <w:jc w:val="center"/>
        <w:tblLook w:val="04A0" w:firstRow="1" w:lastRow="0" w:firstColumn="1" w:lastColumn="0" w:noHBand="0" w:noVBand="1"/>
      </w:tblPr>
      <w:tblGrid>
        <w:gridCol w:w="1655"/>
        <w:gridCol w:w="2549"/>
        <w:gridCol w:w="3040"/>
        <w:gridCol w:w="1134"/>
        <w:gridCol w:w="3509"/>
        <w:gridCol w:w="3286"/>
      </w:tblGrid>
      <w:tr>
        <w:trPr>
          <w:trHeight w:val="775"/>
          <w:jc w:val="center"/>
        </w:trPr>
        <w:tc>
          <w:tcPr>
            <w:tcW w:w="1706"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Action</w:t>
            </w:r>
          </w:p>
        </w:tc>
        <w:tc>
          <w:tcPr>
            <w:tcW w:w="2834"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Intended outcome</w:t>
            </w:r>
          </w:p>
        </w:tc>
        <w:tc>
          <w:tcPr>
            <w:tcW w:w="3259"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Estimated impact</w:t>
            </w:r>
          </w:p>
        </w:tc>
        <w:tc>
          <w:tcPr>
            <w:tcW w:w="1129"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Cost</w:t>
            </w:r>
          </w:p>
        </w:tc>
        <w:tc>
          <w:tcPr>
            <w:tcW w:w="2408"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Staff lead</w:t>
            </w:r>
          </w:p>
        </w:tc>
        <w:tc>
          <w:tcPr>
            <w:tcW w:w="3837"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Comments</w:t>
            </w:r>
          </w:p>
        </w:tc>
      </w:tr>
      <w:tr>
        <w:trPr>
          <w:trHeight w:val="1836"/>
          <w:jc w:val="center"/>
        </w:trPr>
        <w:tc>
          <w:tcPr>
            <w:tcW w:w="1706" w:type="dxa"/>
            <w:vAlign w:val="center"/>
          </w:tcPr>
          <w:p>
            <w:pPr>
              <w:tabs>
                <w:tab w:val="left" w:pos="1560"/>
              </w:tabs>
              <w:suppressAutoHyphens/>
              <w:autoSpaceDN w:val="0"/>
              <w:textAlignment w:val="baseline"/>
              <w:rPr>
                <w:rFonts w:ascii="Arial" w:eastAsiaTheme="minorEastAsia" w:hAnsi="Arial" w:cs="Arial"/>
                <w:b/>
                <w:lang w:val="en-US" w:eastAsia="ja-JP"/>
              </w:rPr>
            </w:pPr>
            <w:r>
              <w:rPr>
                <w:rFonts w:ascii="Arial" w:eastAsiaTheme="minorEastAsia" w:hAnsi="Arial" w:cs="Arial"/>
                <w:b/>
                <w:lang w:val="en-US" w:eastAsia="ja-JP"/>
              </w:rPr>
              <w:t>Teach First Academic Mentor</w:t>
            </w:r>
          </w:p>
        </w:tc>
        <w:tc>
          <w:tcPr>
            <w:tcW w:w="2834" w:type="dxa"/>
            <w:vAlign w:val="center"/>
          </w:tcPr>
          <w:p>
            <w:pPr>
              <w:spacing w:before="120" w:after="120" w:line="276" w:lineRule="auto"/>
              <w:jc w:val="both"/>
              <w:rPr>
                <w:rFonts w:ascii="Arial" w:eastAsiaTheme="minorEastAsia" w:hAnsi="Arial" w:cs="Arial"/>
                <w:sz w:val="20"/>
                <w:szCs w:val="20"/>
                <w:lang w:val="en-US" w:eastAsia="ja-JP"/>
              </w:rPr>
            </w:pPr>
            <w:r>
              <w:rPr>
                <w:rFonts w:ascii="Arial" w:eastAsiaTheme="minorEastAsia" w:hAnsi="Arial" w:cs="Arial"/>
                <w:sz w:val="20"/>
                <w:szCs w:val="20"/>
                <w:lang w:val="en-US" w:eastAsia="ja-JP"/>
              </w:rPr>
              <w:t xml:space="preserve">Disadvantaged pupils were less likely to access the facilities they needed to learn in the first lockdown 2020. DfE predicts this could widen attainment gap by up to 75%. An academic mentor will support staff to prevent this happening further. They’ll work closely with pupils who have fallen behind, giving them </w:t>
            </w:r>
            <w:proofErr w:type="gramStart"/>
            <w:r>
              <w:rPr>
                <w:rFonts w:ascii="Arial" w:eastAsiaTheme="minorEastAsia" w:hAnsi="Arial" w:cs="Arial"/>
                <w:sz w:val="20"/>
                <w:szCs w:val="20"/>
                <w:lang w:val="en-US" w:eastAsia="ja-JP"/>
              </w:rPr>
              <w:t>the intensive support</w:t>
            </w:r>
            <w:proofErr w:type="gramEnd"/>
            <w:r>
              <w:rPr>
                <w:rFonts w:ascii="Arial" w:eastAsiaTheme="minorEastAsia" w:hAnsi="Arial" w:cs="Arial"/>
                <w:sz w:val="20"/>
                <w:szCs w:val="20"/>
                <w:lang w:val="en-US" w:eastAsia="ja-JP"/>
              </w:rPr>
              <w:t xml:space="preserve"> they need.</w:t>
            </w:r>
          </w:p>
        </w:tc>
        <w:tc>
          <w:tcPr>
            <w:tcW w:w="3259" w:type="dxa"/>
            <w:vAlign w:val="center"/>
          </w:tcPr>
          <w:p>
            <w:pPr>
              <w:pStyle w:val="ListParagraph"/>
              <w:numPr>
                <w:ilvl w:val="0"/>
                <w:numId w:val="25"/>
              </w:numPr>
              <w:spacing w:before="120" w:after="120"/>
              <w:jc w:val="both"/>
              <w:rPr>
                <w:rFonts w:ascii="Arial" w:eastAsiaTheme="minorEastAsia" w:hAnsi="Arial" w:cs="Arial"/>
                <w:sz w:val="20"/>
                <w:szCs w:val="20"/>
                <w:lang w:val="en-US" w:eastAsia="ja-JP"/>
              </w:rPr>
            </w:pPr>
            <w:r>
              <w:rPr>
                <w:rFonts w:ascii="Arial" w:eastAsiaTheme="minorEastAsia" w:hAnsi="Arial" w:cs="Arial"/>
                <w:sz w:val="20"/>
                <w:szCs w:val="20"/>
                <w:lang w:val="en-US" w:eastAsia="ja-JP"/>
              </w:rPr>
              <w:t>High quality tutoring for those who need it most</w:t>
            </w:r>
          </w:p>
          <w:p>
            <w:pPr>
              <w:pStyle w:val="ListParagraph"/>
              <w:numPr>
                <w:ilvl w:val="0"/>
                <w:numId w:val="25"/>
              </w:numPr>
              <w:spacing w:before="120" w:after="120"/>
              <w:jc w:val="both"/>
              <w:rPr>
                <w:rFonts w:ascii="Arial" w:eastAsiaTheme="minorEastAsia" w:hAnsi="Arial" w:cs="Arial"/>
                <w:sz w:val="20"/>
                <w:szCs w:val="20"/>
                <w:lang w:val="en-US" w:eastAsia="ja-JP"/>
              </w:rPr>
            </w:pPr>
            <w:r>
              <w:rPr>
                <w:rFonts w:ascii="Arial" w:eastAsiaTheme="minorEastAsia" w:hAnsi="Arial" w:cs="Arial"/>
                <w:sz w:val="20"/>
                <w:szCs w:val="20"/>
                <w:lang w:val="en-US" w:eastAsia="ja-JP"/>
              </w:rPr>
              <w:t>Raising attainment for the most disadvantaged pupils</w:t>
            </w:r>
          </w:p>
          <w:p>
            <w:pPr>
              <w:pStyle w:val="ListParagraph"/>
              <w:numPr>
                <w:ilvl w:val="0"/>
                <w:numId w:val="25"/>
              </w:numPr>
              <w:spacing w:before="120" w:after="120"/>
              <w:jc w:val="both"/>
              <w:rPr>
                <w:rFonts w:ascii="Arial" w:eastAsiaTheme="minorEastAsia" w:hAnsi="Arial" w:cs="Arial"/>
                <w:sz w:val="20"/>
                <w:szCs w:val="20"/>
                <w:lang w:val="en-US" w:eastAsia="ja-JP"/>
              </w:rPr>
            </w:pPr>
            <w:r>
              <w:rPr>
                <w:rFonts w:ascii="Arial" w:eastAsiaTheme="minorEastAsia" w:hAnsi="Arial" w:cs="Arial"/>
                <w:sz w:val="20"/>
                <w:szCs w:val="20"/>
                <w:lang w:val="en-US" w:eastAsia="ja-JP"/>
              </w:rPr>
              <w:t>Diminishing the attainment gap between Disadvantaged and Other pupils</w:t>
            </w:r>
          </w:p>
        </w:tc>
        <w:tc>
          <w:tcPr>
            <w:tcW w:w="1129"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£2358.71</w:t>
            </w:r>
          </w:p>
        </w:tc>
        <w:tc>
          <w:tcPr>
            <w:tcW w:w="2408"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Robins</w:t>
            </w:r>
          </w:p>
          <w:p>
            <w:pPr>
              <w:spacing w:before="120" w:after="120"/>
              <w:rPr>
                <w:rFonts w:ascii="Arial" w:eastAsiaTheme="minorEastAsia" w:hAnsi="Arial" w:cs="Arial"/>
                <w:sz w:val="16"/>
                <w:szCs w:val="16"/>
                <w:lang w:val="en-US" w:eastAsia="ja-JP"/>
              </w:rPr>
            </w:pPr>
            <w:hyperlink r:id="rId17" w:history="1">
              <w:r>
                <w:rPr>
                  <w:rStyle w:val="Hyperlink"/>
                  <w:rFonts w:ascii="Arial" w:eastAsiaTheme="minorEastAsia" w:hAnsi="Arial" w:cs="Arial"/>
                  <w:sz w:val="16"/>
                  <w:szCs w:val="16"/>
                  <w:lang w:val="en-US" w:eastAsia="ja-JP"/>
                </w:rPr>
                <w:t>headteacher@newsilksworthacademy.co.uk</w:t>
              </w:r>
            </w:hyperlink>
          </w:p>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w:t>
            </w:r>
            <w:proofErr w:type="spellStart"/>
            <w:r>
              <w:rPr>
                <w:rFonts w:ascii="Arial" w:eastAsiaTheme="minorEastAsia" w:hAnsi="Arial" w:cs="Arial"/>
                <w:b/>
                <w:lang w:val="en-US" w:eastAsia="ja-JP"/>
              </w:rPr>
              <w:t>Mincher</w:t>
            </w:r>
            <w:proofErr w:type="spellEnd"/>
          </w:p>
          <w:p>
            <w:pPr>
              <w:spacing w:before="120" w:after="120"/>
              <w:rPr>
                <w:rFonts w:ascii="Arial" w:eastAsiaTheme="minorEastAsia" w:hAnsi="Arial" w:cs="Arial"/>
                <w:sz w:val="16"/>
                <w:szCs w:val="16"/>
                <w:lang w:val="en-US" w:eastAsia="ja-JP"/>
              </w:rPr>
            </w:pPr>
            <w:hyperlink r:id="rId18" w:history="1">
              <w:r>
                <w:rPr>
                  <w:rStyle w:val="Hyperlink"/>
                  <w:rFonts w:ascii="Arial" w:eastAsiaTheme="minorEastAsia" w:hAnsi="Arial" w:cs="Arial"/>
                  <w:sz w:val="16"/>
                  <w:szCs w:val="16"/>
                  <w:lang w:val="en-US" w:eastAsia="ja-JP"/>
                </w:rPr>
                <w:t>Sarah.mincher@newsilksworthacademy.co.uk</w:t>
              </w:r>
            </w:hyperlink>
          </w:p>
          <w:p>
            <w:pPr>
              <w:spacing w:before="120" w:after="120"/>
              <w:rPr>
                <w:rFonts w:ascii="Arial" w:eastAsiaTheme="minorEastAsia" w:hAnsi="Arial" w:cs="Arial"/>
                <w:b/>
                <w:lang w:val="en-US" w:eastAsia="ja-JP"/>
              </w:rPr>
            </w:pPr>
          </w:p>
        </w:tc>
        <w:tc>
          <w:tcPr>
            <w:tcW w:w="3837" w:type="dxa"/>
            <w:vAlign w:val="center"/>
          </w:tcPr>
          <w:p>
            <w:pPr>
              <w:spacing w:before="120" w:after="120"/>
              <w:rPr>
                <w:rFonts w:ascii="Arial" w:eastAsiaTheme="minorEastAsia" w:hAnsi="Arial" w:cs="Arial"/>
                <w:sz w:val="20"/>
                <w:szCs w:val="20"/>
                <w:lang w:val="en-US" w:eastAsia="ja-JP"/>
              </w:rPr>
            </w:pPr>
            <w:r>
              <w:rPr>
                <w:rFonts w:ascii="Arial" w:eastAsiaTheme="minorEastAsia" w:hAnsi="Arial" w:cs="Arial"/>
                <w:sz w:val="20"/>
                <w:szCs w:val="20"/>
                <w:lang w:val="en-US" w:eastAsia="ja-JP"/>
              </w:rPr>
              <w:t xml:space="preserve">As part of the NTP (National Tutoring </w:t>
            </w:r>
            <w:proofErr w:type="spellStart"/>
            <w:r>
              <w:rPr>
                <w:rFonts w:ascii="Arial" w:eastAsiaTheme="minorEastAsia" w:hAnsi="Arial" w:cs="Arial"/>
                <w:sz w:val="20"/>
                <w:szCs w:val="20"/>
                <w:lang w:val="en-US" w:eastAsia="ja-JP"/>
              </w:rPr>
              <w:t>Programme</w:t>
            </w:r>
            <w:proofErr w:type="spellEnd"/>
            <w:r>
              <w:rPr>
                <w:rFonts w:ascii="Arial" w:eastAsiaTheme="minorEastAsia" w:hAnsi="Arial" w:cs="Arial"/>
                <w:sz w:val="20"/>
                <w:szCs w:val="20"/>
                <w:lang w:val="en-US" w:eastAsia="ja-JP"/>
              </w:rPr>
              <w:t xml:space="preserve">) all of the mentor’s salary is covered by the Department for Education. School will employ the new mentor and pay the on costs. Miss Scott started supporting New </w:t>
            </w:r>
            <w:proofErr w:type="spellStart"/>
            <w:r>
              <w:rPr>
                <w:rFonts w:ascii="Arial" w:eastAsiaTheme="minorEastAsia" w:hAnsi="Arial" w:cs="Arial"/>
                <w:sz w:val="20"/>
                <w:szCs w:val="20"/>
                <w:lang w:val="en-US" w:eastAsia="ja-JP"/>
              </w:rPr>
              <w:t>Silksworth</w:t>
            </w:r>
            <w:proofErr w:type="spellEnd"/>
            <w:r>
              <w:rPr>
                <w:rFonts w:ascii="Arial" w:eastAsiaTheme="minorEastAsia" w:hAnsi="Arial" w:cs="Arial"/>
                <w:sz w:val="20"/>
                <w:szCs w:val="20"/>
                <w:lang w:val="en-US" w:eastAsia="ja-JP"/>
              </w:rPr>
              <w:t xml:space="preserve"> Infant Academy during Autumn 2, 2020, for half of the week.  She is currently supporting identified pupils across Years 1 &amp; 2 (in addition to supporting the Junior Academy for the remaining half of her time).</w:t>
            </w:r>
          </w:p>
        </w:tc>
      </w:tr>
      <w:tr>
        <w:trPr>
          <w:trHeight w:val="1691"/>
          <w:jc w:val="center"/>
        </w:trPr>
        <w:tc>
          <w:tcPr>
            <w:tcW w:w="1706"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 xml:space="preserve">Release of staff to provide target support in the EYFS: </w:t>
            </w:r>
            <w:r>
              <w:rPr>
                <w:rFonts w:ascii="Arial" w:eastAsiaTheme="minorEastAsia" w:hAnsi="Arial" w:cs="Arial"/>
                <w:b/>
                <w:u w:val="single"/>
                <w:lang w:val="en-US" w:eastAsia="ja-JP"/>
              </w:rPr>
              <w:t>N</w:t>
            </w:r>
            <w:r>
              <w:rPr>
                <w:rFonts w:ascii="Arial" w:eastAsiaTheme="minorEastAsia" w:hAnsi="Arial" w:cs="Arial"/>
                <w:b/>
                <w:lang w:val="en-US" w:eastAsia="ja-JP"/>
              </w:rPr>
              <w:t xml:space="preserve">uffield </w:t>
            </w:r>
            <w:r>
              <w:rPr>
                <w:rFonts w:ascii="Arial" w:eastAsiaTheme="minorEastAsia" w:hAnsi="Arial" w:cs="Arial"/>
                <w:b/>
                <w:u w:val="single"/>
                <w:lang w:val="en-US" w:eastAsia="ja-JP"/>
              </w:rPr>
              <w:t>E</w:t>
            </w:r>
            <w:r>
              <w:rPr>
                <w:rFonts w:ascii="Arial" w:eastAsiaTheme="minorEastAsia" w:hAnsi="Arial" w:cs="Arial"/>
                <w:b/>
                <w:lang w:val="en-US" w:eastAsia="ja-JP"/>
              </w:rPr>
              <w:t xml:space="preserve">arly </w:t>
            </w:r>
            <w:r>
              <w:rPr>
                <w:rFonts w:ascii="Arial" w:eastAsiaTheme="minorEastAsia" w:hAnsi="Arial" w:cs="Arial"/>
                <w:b/>
                <w:u w:val="single"/>
                <w:lang w:val="en-US" w:eastAsia="ja-JP"/>
              </w:rPr>
              <w:t>L</w:t>
            </w:r>
            <w:r>
              <w:rPr>
                <w:rFonts w:ascii="Arial" w:eastAsiaTheme="minorEastAsia" w:hAnsi="Arial" w:cs="Arial"/>
                <w:b/>
                <w:lang w:val="en-US" w:eastAsia="ja-JP"/>
              </w:rPr>
              <w:t xml:space="preserve">anguage </w:t>
            </w:r>
            <w:r>
              <w:rPr>
                <w:rFonts w:ascii="Arial" w:eastAsiaTheme="minorEastAsia" w:hAnsi="Arial" w:cs="Arial"/>
                <w:b/>
                <w:u w:val="single"/>
                <w:lang w:val="en-US" w:eastAsia="ja-JP"/>
              </w:rPr>
              <w:t>I</w:t>
            </w:r>
            <w:r>
              <w:rPr>
                <w:rFonts w:ascii="Arial" w:eastAsiaTheme="minorEastAsia" w:hAnsi="Arial" w:cs="Arial"/>
                <w:b/>
                <w:lang w:val="en-US" w:eastAsia="ja-JP"/>
              </w:rPr>
              <w:t>ntervention</w:t>
            </w:r>
          </w:p>
        </w:tc>
        <w:tc>
          <w:tcPr>
            <w:tcW w:w="2834" w:type="dxa"/>
            <w:vAlign w:val="center"/>
          </w:tcPr>
          <w:p>
            <w:pPr>
              <w:spacing w:before="120" w:after="120"/>
              <w:jc w:val="both"/>
              <w:rPr>
                <w:rFonts w:ascii="Arial" w:eastAsiaTheme="minorEastAsia" w:hAnsi="Arial" w:cs="Arial"/>
                <w:sz w:val="20"/>
                <w:szCs w:val="20"/>
                <w:lang w:val="en-US" w:eastAsia="ja-JP"/>
              </w:rPr>
            </w:pPr>
            <w:r>
              <w:rPr>
                <w:rFonts w:ascii="Arial" w:hAnsi="Arial" w:cs="Arial"/>
                <w:sz w:val="20"/>
                <w:szCs w:val="20"/>
              </w:rPr>
              <w:t>It aims to develop children’s vocabulary, listening and narrative skills and, in the last 10 weeks, also involves work to develop phonological awareness and early letter-sound knowledge as foundations for early literacy skills.</w:t>
            </w:r>
          </w:p>
        </w:tc>
        <w:tc>
          <w:tcPr>
            <w:tcW w:w="3259" w:type="dxa"/>
            <w:vAlign w:val="center"/>
          </w:tcPr>
          <w:p>
            <w:pPr>
              <w:spacing w:before="120" w:after="120"/>
              <w:jc w:val="both"/>
              <w:rPr>
                <w:rFonts w:ascii="Arial" w:eastAsiaTheme="minorEastAsia" w:hAnsi="Arial" w:cs="Arial"/>
                <w:sz w:val="20"/>
                <w:szCs w:val="20"/>
                <w:lang w:val="en-US" w:eastAsia="ja-JP"/>
              </w:rPr>
            </w:pPr>
            <w:r>
              <w:rPr>
                <w:rFonts w:ascii="Arial" w:hAnsi="Arial" w:cs="Arial"/>
                <w:sz w:val="20"/>
                <w:szCs w:val="20"/>
              </w:rPr>
              <w:t>It has been robustly tested through several trials including two funded by the EEF. The most recent, involving 193 schools, found that children who received NELI made, on average, +3 months of additional progress in oral language skills compared to children who did not receive NELI.</w:t>
            </w:r>
          </w:p>
        </w:tc>
        <w:tc>
          <w:tcPr>
            <w:tcW w:w="1129" w:type="dxa"/>
            <w:vAlign w:val="center"/>
          </w:tcPr>
          <w:p>
            <w:pPr>
              <w:spacing w:before="120" w:after="120"/>
              <w:rPr>
                <w:rFonts w:ascii="Arial" w:eastAsiaTheme="minorEastAsia" w:hAnsi="Arial" w:cs="Arial"/>
                <w:b/>
                <w:lang w:val="en-US" w:eastAsia="ja-JP"/>
              </w:rPr>
            </w:pPr>
          </w:p>
        </w:tc>
        <w:tc>
          <w:tcPr>
            <w:tcW w:w="2408"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Seaman</w:t>
            </w:r>
          </w:p>
          <w:p>
            <w:pPr>
              <w:spacing w:before="120" w:after="120"/>
              <w:rPr>
                <w:rFonts w:ascii="Arial" w:eastAsiaTheme="minorEastAsia" w:hAnsi="Arial" w:cs="Arial"/>
                <w:sz w:val="16"/>
                <w:szCs w:val="16"/>
                <w:lang w:val="en-US" w:eastAsia="ja-JP"/>
              </w:rPr>
            </w:pPr>
            <w:hyperlink r:id="rId19" w:history="1">
              <w:r>
                <w:rPr>
                  <w:rStyle w:val="Hyperlink"/>
                  <w:rFonts w:ascii="Arial" w:eastAsiaTheme="minorEastAsia" w:hAnsi="Arial" w:cs="Arial"/>
                  <w:sz w:val="16"/>
                  <w:szCs w:val="16"/>
                  <w:lang w:val="en-US" w:eastAsia="ja-JP"/>
                </w:rPr>
                <w:t>emma.seaman@newsilksworthacademy.co.uk</w:t>
              </w:r>
            </w:hyperlink>
          </w:p>
          <w:p>
            <w:pPr>
              <w:spacing w:before="120" w:after="120"/>
              <w:rPr>
                <w:rFonts w:ascii="Arial" w:eastAsiaTheme="minorEastAsia" w:hAnsi="Arial" w:cs="Arial"/>
                <w:b/>
                <w:lang w:val="en-US" w:eastAsia="ja-JP"/>
              </w:rPr>
            </w:pPr>
          </w:p>
        </w:tc>
        <w:tc>
          <w:tcPr>
            <w:tcW w:w="3837" w:type="dxa"/>
            <w:vAlign w:val="center"/>
          </w:tcPr>
          <w:p>
            <w:pPr>
              <w:spacing w:before="120" w:after="120"/>
              <w:rPr>
                <w:rFonts w:ascii="Arial" w:eastAsiaTheme="minorEastAsia" w:hAnsi="Arial" w:cs="Arial"/>
                <w:sz w:val="20"/>
                <w:szCs w:val="20"/>
                <w:lang w:val="en-US" w:eastAsia="ja-JP"/>
              </w:rPr>
            </w:pPr>
            <w:r>
              <w:rPr>
                <w:rFonts w:ascii="Arial" w:hAnsi="Arial" w:cs="Arial"/>
                <w:sz w:val="20"/>
                <w:szCs w:val="20"/>
              </w:rPr>
              <w:t>Oral language skills form a crucial foundation for thinking, learning and social interaction. Children’s oral language ability during their early years is one of the strongest predictors of success in literacy, numeracy and later employment as well as wellbeing. The Reception Nuffield Early Language Intervention Programme (NELI) is currently the most well evidenced early language programme in the country.</w:t>
            </w:r>
          </w:p>
        </w:tc>
      </w:tr>
      <w:tr>
        <w:trPr>
          <w:trHeight w:val="136"/>
          <w:jc w:val="center"/>
        </w:trPr>
        <w:tc>
          <w:tcPr>
            <w:tcW w:w="7799" w:type="dxa"/>
            <w:gridSpan w:val="3"/>
            <w:shd w:val="clear" w:color="auto" w:fill="0070C0"/>
            <w:vAlign w:val="center"/>
          </w:tcPr>
          <w:p>
            <w:pPr>
              <w:spacing w:before="120" w:after="120"/>
              <w:jc w:val="right"/>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lastRenderedPageBreak/>
              <w:t>Total spend:</w:t>
            </w:r>
          </w:p>
        </w:tc>
        <w:tc>
          <w:tcPr>
            <w:tcW w:w="7374" w:type="dxa"/>
            <w:gridSpan w:val="3"/>
            <w:shd w:val="clear" w:color="auto" w:fill="FFFFFF" w:themeFill="background1"/>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£2358.71</w:t>
            </w:r>
          </w:p>
        </w:tc>
      </w:tr>
    </w:tbl>
    <w:p>
      <w:pPr>
        <w:spacing w:after="120"/>
        <w:rPr>
          <w:rFonts w:ascii="Arial" w:hAnsi="Arial" w:cs="Arial"/>
          <w:b/>
          <w:sz w:val="28"/>
          <w:szCs w:val="20"/>
          <w:lang w:val="en-US" w:eastAsia="ja-JP"/>
        </w:rPr>
      </w:pPr>
      <w:r>
        <w:rPr>
          <w:rFonts w:ascii="Arial" w:hAnsi="Arial" w:cs="Arial"/>
          <w:b/>
          <w:sz w:val="28"/>
          <w:szCs w:val="20"/>
          <w:lang w:val="en-US" w:eastAsia="ja-JP"/>
        </w:rPr>
        <w:t xml:space="preserve">Wider support </w:t>
      </w:r>
    </w:p>
    <w:p>
      <w:pPr>
        <w:spacing w:before="120" w:after="120"/>
        <w:jc w:val="both"/>
        <w:rPr>
          <w:rFonts w:ascii="Arial" w:hAnsi="Arial" w:cs="Arial"/>
          <w:b/>
          <w:color w:val="367188"/>
          <w:lang w:val="en-US" w:eastAsia="ja-JP"/>
        </w:rPr>
      </w:pPr>
    </w:p>
    <w:tbl>
      <w:tblPr>
        <w:tblStyle w:val="TableGrid"/>
        <w:tblW w:w="15037" w:type="dxa"/>
        <w:jc w:val="center"/>
        <w:tblLook w:val="04A0" w:firstRow="1" w:lastRow="0" w:firstColumn="1" w:lastColumn="0" w:noHBand="0" w:noVBand="1"/>
      </w:tblPr>
      <w:tblGrid>
        <w:gridCol w:w="1879"/>
        <w:gridCol w:w="2343"/>
        <w:gridCol w:w="2991"/>
        <w:gridCol w:w="1107"/>
        <w:gridCol w:w="3340"/>
        <w:gridCol w:w="3377"/>
      </w:tblGrid>
      <w:tr>
        <w:trPr>
          <w:trHeight w:val="775"/>
          <w:jc w:val="center"/>
        </w:trPr>
        <w:tc>
          <w:tcPr>
            <w:tcW w:w="1879"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Action</w:t>
            </w:r>
          </w:p>
        </w:tc>
        <w:tc>
          <w:tcPr>
            <w:tcW w:w="2554"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Intended outcome</w:t>
            </w:r>
          </w:p>
        </w:tc>
        <w:tc>
          <w:tcPr>
            <w:tcW w:w="3250" w:type="dxa"/>
            <w:shd w:val="clear" w:color="auto" w:fill="0070C0"/>
            <w:vAlign w:val="center"/>
          </w:tcPr>
          <w:p>
            <w:pPr>
              <w:spacing w:before="120" w:after="120" w:line="276" w:lineRule="auto"/>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Estimated impact</w:t>
            </w:r>
          </w:p>
        </w:tc>
        <w:tc>
          <w:tcPr>
            <w:tcW w:w="1128"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Cost</w:t>
            </w:r>
          </w:p>
        </w:tc>
        <w:tc>
          <w:tcPr>
            <w:tcW w:w="2400"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Staff lead</w:t>
            </w:r>
          </w:p>
        </w:tc>
        <w:tc>
          <w:tcPr>
            <w:tcW w:w="3826" w:type="dxa"/>
            <w:shd w:val="clear" w:color="auto" w:fill="0070C0"/>
            <w:vAlign w:val="center"/>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Comments</w:t>
            </w:r>
          </w:p>
        </w:tc>
      </w:tr>
      <w:tr>
        <w:trPr>
          <w:trHeight w:val="1982"/>
          <w:jc w:val="center"/>
        </w:trPr>
        <w:tc>
          <w:tcPr>
            <w:tcW w:w="1879" w:type="dxa"/>
            <w:vAlign w:val="center"/>
          </w:tcPr>
          <w:p>
            <w:pPr>
              <w:tabs>
                <w:tab w:val="left" w:pos="1560"/>
              </w:tabs>
              <w:suppressAutoHyphens/>
              <w:autoSpaceDN w:val="0"/>
              <w:textAlignment w:val="baseline"/>
              <w:rPr>
                <w:rFonts w:ascii="Arial" w:eastAsiaTheme="minorEastAsia" w:hAnsi="Arial" w:cs="Arial"/>
                <w:b/>
                <w:lang w:val="en-US" w:eastAsia="ja-JP"/>
              </w:rPr>
            </w:pPr>
            <w:r>
              <w:rPr>
                <w:rFonts w:ascii="Arial" w:eastAsiaTheme="minorEastAsia" w:hAnsi="Arial" w:cs="Arial"/>
                <w:b/>
                <w:lang w:val="en-US" w:eastAsia="ja-JP"/>
              </w:rPr>
              <w:t>Purchase and provide CPG Study Guides/Phonics Workbooks to all families</w:t>
            </w:r>
          </w:p>
        </w:tc>
        <w:tc>
          <w:tcPr>
            <w:tcW w:w="2554" w:type="dxa"/>
            <w:vAlign w:val="center"/>
          </w:tcPr>
          <w:p>
            <w:pPr>
              <w:spacing w:before="120" w:after="120" w:line="276" w:lineRule="auto"/>
              <w:jc w:val="both"/>
              <w:rPr>
                <w:rFonts w:ascii="Arial" w:eastAsiaTheme="minorEastAsia" w:hAnsi="Arial" w:cs="Arial"/>
                <w:sz w:val="20"/>
                <w:szCs w:val="20"/>
                <w:lang w:val="en-US" w:eastAsia="ja-JP"/>
              </w:rPr>
            </w:pPr>
            <w:r>
              <w:rPr>
                <w:rFonts w:ascii="Arial" w:eastAsiaTheme="minorEastAsia" w:hAnsi="Arial" w:cs="Arial"/>
                <w:sz w:val="20"/>
                <w:szCs w:val="20"/>
                <w:lang w:val="en-US" w:eastAsia="ja-JP"/>
              </w:rPr>
              <w:t>Parents have access to study guides so they know key subject areas and the expectations.  Families will have resources available at home so that children can access high quality resources and apply skills taught.</w:t>
            </w:r>
          </w:p>
          <w:p>
            <w:pPr>
              <w:spacing w:before="120" w:after="120" w:line="276" w:lineRule="auto"/>
              <w:jc w:val="both"/>
              <w:rPr>
                <w:rFonts w:ascii="Arial" w:eastAsiaTheme="minorEastAsia" w:hAnsi="Arial" w:cs="Arial"/>
                <w:sz w:val="20"/>
                <w:szCs w:val="20"/>
                <w:lang w:val="en-US" w:eastAsia="ja-JP"/>
              </w:rPr>
            </w:pPr>
            <w:r>
              <w:rPr>
                <w:rFonts w:ascii="Arial" w:eastAsiaTheme="minorEastAsia" w:hAnsi="Arial" w:cs="Arial"/>
                <w:sz w:val="20"/>
                <w:szCs w:val="20"/>
                <w:lang w:val="en-US" w:eastAsia="ja-JP"/>
              </w:rPr>
              <w:t>Phonics resources supports learning at home and helps make it fun.</w:t>
            </w:r>
          </w:p>
        </w:tc>
        <w:tc>
          <w:tcPr>
            <w:tcW w:w="3250" w:type="dxa"/>
            <w:vAlign w:val="center"/>
          </w:tcPr>
          <w:p>
            <w:pPr>
              <w:pStyle w:val="ListParagraph"/>
              <w:numPr>
                <w:ilvl w:val="0"/>
                <w:numId w:val="25"/>
              </w:numPr>
              <w:spacing w:before="120" w:after="120"/>
              <w:rPr>
                <w:rFonts w:ascii="Arial" w:eastAsiaTheme="minorEastAsia" w:hAnsi="Arial" w:cs="Arial"/>
                <w:sz w:val="20"/>
                <w:szCs w:val="20"/>
                <w:lang w:val="en-US" w:eastAsia="ja-JP"/>
              </w:rPr>
            </w:pPr>
            <w:r>
              <w:rPr>
                <w:rFonts w:ascii="Arial" w:eastAsiaTheme="minorEastAsia" w:hAnsi="Arial" w:cs="Arial"/>
                <w:sz w:val="20"/>
                <w:szCs w:val="20"/>
                <w:lang w:val="en-US" w:eastAsia="ja-JP"/>
              </w:rPr>
              <w:t>Shared activities are promoted</w:t>
            </w:r>
          </w:p>
          <w:p>
            <w:pPr>
              <w:pStyle w:val="ListParagraph"/>
              <w:numPr>
                <w:ilvl w:val="0"/>
                <w:numId w:val="25"/>
              </w:numPr>
              <w:spacing w:before="120" w:after="120"/>
              <w:rPr>
                <w:rFonts w:ascii="Arial" w:eastAsiaTheme="minorEastAsia" w:hAnsi="Arial" w:cs="Arial"/>
                <w:b/>
                <w:lang w:val="en-US" w:eastAsia="ja-JP"/>
              </w:rPr>
            </w:pPr>
            <w:r>
              <w:rPr>
                <w:rFonts w:ascii="Arial" w:eastAsiaTheme="minorEastAsia" w:hAnsi="Arial" w:cs="Arial"/>
                <w:sz w:val="20"/>
                <w:szCs w:val="20"/>
                <w:lang w:val="en-US" w:eastAsia="ja-JP"/>
              </w:rPr>
              <w:t>Parents feel supported to support their children with their learning at home</w:t>
            </w:r>
          </w:p>
        </w:tc>
        <w:tc>
          <w:tcPr>
            <w:tcW w:w="1128"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£973.88</w:t>
            </w:r>
          </w:p>
        </w:tc>
        <w:tc>
          <w:tcPr>
            <w:tcW w:w="2400"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Robins</w:t>
            </w:r>
          </w:p>
          <w:p>
            <w:pPr>
              <w:spacing w:before="120" w:after="120"/>
              <w:rPr>
                <w:rFonts w:ascii="Arial" w:eastAsiaTheme="minorEastAsia" w:hAnsi="Arial" w:cs="Arial"/>
                <w:sz w:val="16"/>
                <w:szCs w:val="16"/>
                <w:lang w:val="en-US" w:eastAsia="ja-JP"/>
              </w:rPr>
            </w:pPr>
            <w:hyperlink r:id="rId20" w:history="1">
              <w:r>
                <w:rPr>
                  <w:rStyle w:val="Hyperlink"/>
                  <w:rFonts w:ascii="Arial" w:eastAsiaTheme="minorEastAsia" w:hAnsi="Arial" w:cs="Arial"/>
                  <w:sz w:val="16"/>
                  <w:szCs w:val="16"/>
                  <w:lang w:val="en-US" w:eastAsia="ja-JP"/>
                </w:rPr>
                <w:t>headteacher@newsilksworthacademy.co.uk</w:t>
              </w:r>
            </w:hyperlink>
          </w:p>
          <w:p>
            <w:pPr>
              <w:spacing w:before="120" w:after="120"/>
              <w:rPr>
                <w:rFonts w:ascii="Arial" w:eastAsiaTheme="minorEastAsia" w:hAnsi="Arial" w:cs="Arial"/>
                <w:b/>
                <w:lang w:val="en-US" w:eastAsia="ja-JP"/>
              </w:rPr>
            </w:pPr>
          </w:p>
        </w:tc>
        <w:tc>
          <w:tcPr>
            <w:tcW w:w="3826" w:type="dxa"/>
            <w:vAlign w:val="center"/>
          </w:tcPr>
          <w:p>
            <w:pPr>
              <w:spacing w:before="120" w:after="120"/>
              <w:rPr>
                <w:rFonts w:ascii="Arial" w:eastAsiaTheme="minorEastAsia" w:hAnsi="Arial" w:cs="Arial"/>
                <w:b/>
                <w:lang w:val="en-US" w:eastAsia="ja-JP"/>
              </w:rPr>
            </w:pPr>
          </w:p>
        </w:tc>
      </w:tr>
      <w:tr>
        <w:trPr>
          <w:trHeight w:val="1837"/>
          <w:jc w:val="center"/>
        </w:trPr>
        <w:tc>
          <w:tcPr>
            <w:tcW w:w="1879"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 xml:space="preserve">Early Help – </w:t>
            </w:r>
            <w:proofErr w:type="spellStart"/>
            <w:r>
              <w:rPr>
                <w:rFonts w:ascii="Arial" w:eastAsiaTheme="minorEastAsia" w:hAnsi="Arial" w:cs="Arial"/>
                <w:b/>
                <w:lang w:val="en-US" w:eastAsia="ja-JP"/>
              </w:rPr>
              <w:t>Well being</w:t>
            </w:r>
            <w:proofErr w:type="spellEnd"/>
            <w:r>
              <w:rPr>
                <w:rFonts w:ascii="Arial" w:eastAsiaTheme="minorEastAsia" w:hAnsi="Arial" w:cs="Arial"/>
                <w:b/>
                <w:lang w:val="en-US" w:eastAsia="ja-JP"/>
              </w:rPr>
              <w:t xml:space="preserve"> support and family engagement</w:t>
            </w:r>
          </w:p>
        </w:tc>
        <w:tc>
          <w:tcPr>
            <w:tcW w:w="2554" w:type="dxa"/>
            <w:vAlign w:val="center"/>
          </w:tcPr>
          <w:p>
            <w:pPr>
              <w:spacing w:before="120" w:after="120"/>
              <w:jc w:val="both"/>
              <w:rPr>
                <w:rFonts w:ascii="Arial" w:eastAsiaTheme="minorEastAsia" w:hAnsi="Arial" w:cs="Arial"/>
                <w:sz w:val="20"/>
                <w:szCs w:val="20"/>
                <w:lang w:val="en-US" w:eastAsia="ja-JP"/>
              </w:rPr>
            </w:pPr>
            <w:r>
              <w:rPr>
                <w:rFonts w:ascii="Arial" w:eastAsiaTheme="minorEastAsia" w:hAnsi="Arial" w:cs="Arial"/>
                <w:sz w:val="20"/>
                <w:szCs w:val="20"/>
                <w:lang w:val="en-US" w:eastAsia="ja-JP"/>
              </w:rPr>
              <w:t xml:space="preserve">Pupils’ social, emotional and </w:t>
            </w:r>
            <w:proofErr w:type="spellStart"/>
            <w:r>
              <w:rPr>
                <w:rFonts w:ascii="Arial" w:eastAsiaTheme="minorEastAsia" w:hAnsi="Arial" w:cs="Arial"/>
                <w:sz w:val="20"/>
                <w:szCs w:val="20"/>
                <w:lang w:val="en-US" w:eastAsia="ja-JP"/>
              </w:rPr>
              <w:t>behavioural</w:t>
            </w:r>
            <w:proofErr w:type="spellEnd"/>
            <w:r>
              <w:rPr>
                <w:rFonts w:ascii="Arial" w:eastAsiaTheme="minorEastAsia" w:hAnsi="Arial" w:cs="Arial"/>
                <w:sz w:val="20"/>
                <w:szCs w:val="20"/>
                <w:lang w:val="en-US" w:eastAsia="ja-JP"/>
              </w:rPr>
              <w:t xml:space="preserve"> needs are supported whilst working with parents to support their children at home. The support will identify specific barriers and ensure the appropriate plans are in place.</w:t>
            </w:r>
          </w:p>
        </w:tc>
        <w:tc>
          <w:tcPr>
            <w:tcW w:w="3250" w:type="dxa"/>
            <w:vAlign w:val="center"/>
          </w:tcPr>
          <w:p>
            <w:pPr>
              <w:spacing w:before="120" w:after="120"/>
              <w:jc w:val="both"/>
              <w:rPr>
                <w:rFonts w:ascii="Arial" w:eastAsiaTheme="minorEastAsia" w:hAnsi="Arial" w:cs="Arial"/>
                <w:sz w:val="20"/>
                <w:szCs w:val="20"/>
                <w:lang w:val="en-US" w:eastAsia="ja-JP"/>
              </w:rPr>
            </w:pPr>
            <w:r>
              <w:rPr>
                <w:rFonts w:ascii="Arial" w:eastAsiaTheme="minorEastAsia" w:hAnsi="Arial" w:cs="Arial"/>
                <w:sz w:val="20"/>
                <w:szCs w:val="20"/>
                <w:lang w:val="en-US" w:eastAsia="ja-JP"/>
              </w:rPr>
              <w:t>Positive home learning environments are encouraged and resources needed are readily available to children who need them most. Parents/</w:t>
            </w:r>
            <w:proofErr w:type="spellStart"/>
            <w:r>
              <w:rPr>
                <w:rFonts w:ascii="Arial" w:eastAsiaTheme="minorEastAsia" w:hAnsi="Arial" w:cs="Arial"/>
                <w:sz w:val="20"/>
                <w:szCs w:val="20"/>
                <w:lang w:val="en-US" w:eastAsia="ja-JP"/>
              </w:rPr>
              <w:t>carers</w:t>
            </w:r>
            <w:proofErr w:type="spellEnd"/>
            <w:r>
              <w:rPr>
                <w:rFonts w:ascii="Arial" w:eastAsiaTheme="minorEastAsia" w:hAnsi="Arial" w:cs="Arial"/>
                <w:sz w:val="20"/>
                <w:szCs w:val="20"/>
                <w:lang w:val="en-US" w:eastAsia="ja-JP"/>
              </w:rPr>
              <w:t xml:space="preserve"> can manage the steps suggested and feel supported to support their children at home.</w:t>
            </w:r>
          </w:p>
        </w:tc>
        <w:tc>
          <w:tcPr>
            <w:tcW w:w="1128" w:type="dxa"/>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£2200</w:t>
            </w:r>
          </w:p>
        </w:tc>
        <w:tc>
          <w:tcPr>
            <w:tcW w:w="2400" w:type="dxa"/>
            <w:vAlign w:val="center"/>
          </w:tcPr>
          <w:p>
            <w:pPr>
              <w:spacing w:before="120" w:after="120"/>
              <w:rPr>
                <w:rFonts w:ascii="Arial" w:eastAsiaTheme="minorEastAsia" w:hAnsi="Arial" w:cs="Arial"/>
                <w:b/>
                <w:lang w:val="en-US" w:eastAsia="ja-JP"/>
              </w:rPr>
            </w:pPr>
            <w:proofErr w:type="spellStart"/>
            <w:r>
              <w:rPr>
                <w:rFonts w:ascii="Arial" w:eastAsiaTheme="minorEastAsia" w:hAnsi="Arial" w:cs="Arial"/>
                <w:b/>
                <w:lang w:val="en-US" w:eastAsia="ja-JP"/>
              </w:rPr>
              <w:t>Mrs</w:t>
            </w:r>
            <w:proofErr w:type="spellEnd"/>
            <w:r>
              <w:rPr>
                <w:rFonts w:ascii="Arial" w:eastAsiaTheme="minorEastAsia" w:hAnsi="Arial" w:cs="Arial"/>
                <w:b/>
                <w:lang w:val="en-US" w:eastAsia="ja-JP"/>
              </w:rPr>
              <w:t xml:space="preserve"> Robins</w:t>
            </w:r>
          </w:p>
          <w:p>
            <w:pPr>
              <w:spacing w:before="120" w:after="120"/>
              <w:rPr>
                <w:rFonts w:ascii="Arial" w:eastAsiaTheme="minorEastAsia" w:hAnsi="Arial" w:cs="Arial"/>
                <w:sz w:val="16"/>
                <w:szCs w:val="16"/>
                <w:lang w:val="en-US" w:eastAsia="ja-JP"/>
              </w:rPr>
            </w:pPr>
            <w:hyperlink r:id="rId21" w:history="1">
              <w:r>
                <w:rPr>
                  <w:rStyle w:val="Hyperlink"/>
                  <w:rFonts w:ascii="Arial" w:eastAsiaTheme="minorEastAsia" w:hAnsi="Arial" w:cs="Arial"/>
                  <w:sz w:val="16"/>
                  <w:szCs w:val="16"/>
                  <w:lang w:val="en-US" w:eastAsia="ja-JP"/>
                </w:rPr>
                <w:t>headteacher@newsilksworthacademy.co.uk</w:t>
              </w:r>
            </w:hyperlink>
          </w:p>
          <w:p>
            <w:pPr>
              <w:spacing w:before="120" w:after="120"/>
              <w:rPr>
                <w:rFonts w:ascii="Arial" w:eastAsiaTheme="minorEastAsia" w:hAnsi="Arial" w:cs="Arial"/>
                <w:b/>
                <w:lang w:val="en-US" w:eastAsia="ja-JP"/>
              </w:rPr>
            </w:pPr>
          </w:p>
        </w:tc>
        <w:tc>
          <w:tcPr>
            <w:tcW w:w="3826" w:type="dxa"/>
            <w:tcBorders>
              <w:bottom w:val="single" w:sz="4" w:space="0" w:color="auto"/>
            </w:tcBorders>
            <w:vAlign w:val="center"/>
          </w:tcPr>
          <w:p>
            <w:pPr>
              <w:spacing w:before="120" w:after="120"/>
              <w:jc w:val="both"/>
              <w:rPr>
                <w:rFonts w:ascii="Arial" w:eastAsiaTheme="minorEastAsia" w:hAnsi="Arial" w:cs="Arial"/>
                <w:sz w:val="20"/>
                <w:szCs w:val="20"/>
                <w:lang w:val="en-US" w:eastAsia="ja-JP"/>
              </w:rPr>
            </w:pPr>
            <w:proofErr w:type="spellStart"/>
            <w:r>
              <w:rPr>
                <w:rFonts w:ascii="Arial" w:eastAsiaTheme="minorEastAsia" w:hAnsi="Arial" w:cs="Arial"/>
                <w:sz w:val="20"/>
                <w:szCs w:val="20"/>
                <w:lang w:val="en-US" w:eastAsia="ja-JP"/>
              </w:rPr>
              <w:t>Mrs</w:t>
            </w:r>
            <w:proofErr w:type="spellEnd"/>
            <w:r>
              <w:rPr>
                <w:rFonts w:ascii="Arial" w:eastAsiaTheme="minorEastAsia" w:hAnsi="Arial" w:cs="Arial"/>
                <w:sz w:val="20"/>
                <w:szCs w:val="20"/>
                <w:lang w:val="en-US" w:eastAsia="ja-JP"/>
              </w:rPr>
              <w:t xml:space="preserve"> Hanratty supports the work of the Social Inclusion Officer, </w:t>
            </w:r>
            <w:proofErr w:type="spellStart"/>
            <w:r>
              <w:rPr>
                <w:rFonts w:ascii="Arial" w:eastAsiaTheme="minorEastAsia" w:hAnsi="Arial" w:cs="Arial"/>
                <w:sz w:val="20"/>
                <w:szCs w:val="20"/>
                <w:lang w:val="en-US" w:eastAsia="ja-JP"/>
              </w:rPr>
              <w:t>enagaging</w:t>
            </w:r>
            <w:proofErr w:type="spellEnd"/>
            <w:r>
              <w:rPr>
                <w:rFonts w:ascii="Arial" w:eastAsiaTheme="minorEastAsia" w:hAnsi="Arial" w:cs="Arial"/>
                <w:sz w:val="20"/>
                <w:szCs w:val="20"/>
                <w:lang w:val="en-US" w:eastAsia="ja-JP"/>
              </w:rPr>
              <w:t xml:space="preserve"> with families and supporting them to support their children through Early Help. In addition to her work to improve pupils’ attendance, Jade will spend half a day in the Infant Academy to spend meaningful time with identified pupils to support their health and well-being.</w:t>
            </w:r>
          </w:p>
        </w:tc>
      </w:tr>
      <w:tr>
        <w:trPr>
          <w:trHeight w:val="136"/>
          <w:jc w:val="center"/>
        </w:trPr>
        <w:tc>
          <w:tcPr>
            <w:tcW w:w="7683" w:type="dxa"/>
            <w:gridSpan w:val="3"/>
            <w:shd w:val="clear" w:color="auto" w:fill="0070C0"/>
            <w:vAlign w:val="center"/>
          </w:tcPr>
          <w:p>
            <w:pPr>
              <w:spacing w:before="120" w:after="120"/>
              <w:jc w:val="right"/>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Total spend:</w:t>
            </w:r>
          </w:p>
        </w:tc>
        <w:tc>
          <w:tcPr>
            <w:tcW w:w="7354" w:type="dxa"/>
            <w:gridSpan w:val="3"/>
            <w:shd w:val="clear" w:color="auto" w:fill="FFFFFF" w:themeFill="background1"/>
            <w:vAlign w:val="center"/>
          </w:tcPr>
          <w:p>
            <w:pPr>
              <w:spacing w:before="120" w:after="120"/>
              <w:rPr>
                <w:rFonts w:ascii="Arial" w:eastAsiaTheme="minorEastAsia" w:hAnsi="Arial" w:cs="Arial"/>
                <w:b/>
                <w:lang w:val="en-US" w:eastAsia="ja-JP"/>
              </w:rPr>
            </w:pPr>
            <w:r>
              <w:rPr>
                <w:rFonts w:ascii="Arial" w:eastAsiaTheme="minorEastAsia" w:hAnsi="Arial" w:cs="Arial"/>
                <w:b/>
                <w:lang w:val="en-US" w:eastAsia="ja-JP"/>
              </w:rPr>
              <w:t>£3173.88</w:t>
            </w:r>
          </w:p>
        </w:tc>
      </w:tr>
    </w:tbl>
    <w:p>
      <w:pPr>
        <w:spacing w:after="120"/>
        <w:rPr>
          <w:rFonts w:ascii="Arial" w:hAnsi="Arial" w:cs="Arial"/>
          <w:b/>
          <w:sz w:val="32"/>
          <w:lang w:val="en-US" w:eastAsia="ja-JP"/>
        </w:rPr>
      </w:pPr>
    </w:p>
    <w:p>
      <w:pPr>
        <w:spacing w:after="120"/>
        <w:rPr>
          <w:rFonts w:ascii="Arial" w:hAnsi="Arial" w:cs="Arial"/>
          <w:b/>
          <w:color w:val="0070C0"/>
          <w:sz w:val="28"/>
          <w:szCs w:val="20"/>
          <w:lang w:val="en-US" w:eastAsia="ja-JP"/>
        </w:rPr>
      </w:pPr>
    </w:p>
    <w:p>
      <w:pPr>
        <w:spacing w:after="120"/>
        <w:rPr>
          <w:rFonts w:ascii="Arial" w:eastAsiaTheme="minorEastAsia" w:hAnsi="Arial" w:cs="Arial"/>
          <w:b/>
          <w:color w:val="0070C0"/>
          <w:sz w:val="20"/>
          <w:szCs w:val="20"/>
          <w:lang w:val="en-US" w:eastAsia="ja-JP"/>
        </w:rPr>
      </w:pPr>
      <w:r>
        <w:rPr>
          <w:rFonts w:ascii="Arial" w:hAnsi="Arial" w:cs="Arial"/>
          <w:b/>
          <w:color w:val="0070C0"/>
          <w:sz w:val="28"/>
          <w:szCs w:val="20"/>
          <w:lang w:val="en-US" w:eastAsia="ja-JP"/>
        </w:rPr>
        <w:t>Summary report</w:t>
      </w:r>
    </w:p>
    <w:tbl>
      <w:tblPr>
        <w:tblStyle w:val="TableGrid"/>
        <w:tblW w:w="13936" w:type="dxa"/>
        <w:jc w:val="center"/>
        <w:tblLook w:val="04A0" w:firstRow="1" w:lastRow="0" w:firstColumn="1" w:lastColumn="0" w:noHBand="0" w:noVBand="1"/>
      </w:tblPr>
      <w:tblGrid>
        <w:gridCol w:w="6658"/>
        <w:gridCol w:w="7278"/>
      </w:tblGrid>
      <w:tr>
        <w:trPr>
          <w:jc w:val="center"/>
        </w:trPr>
        <w:tc>
          <w:tcPr>
            <w:tcW w:w="13936" w:type="dxa"/>
            <w:gridSpan w:val="2"/>
            <w:shd w:val="clear" w:color="auto" w:fill="0070C0"/>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 xml:space="preserve">What is the overall impact of spending? </w:t>
            </w:r>
          </w:p>
        </w:tc>
      </w:tr>
      <w:tr>
        <w:trPr>
          <w:trHeight w:val="419"/>
          <w:jc w:val="center"/>
        </w:trPr>
        <w:tc>
          <w:tcPr>
            <w:tcW w:w="13936" w:type="dxa"/>
            <w:gridSpan w:val="2"/>
          </w:tcPr>
          <w:p>
            <w:pPr>
              <w:spacing w:before="120" w:after="120"/>
              <w:rPr>
                <w:rFonts w:ascii="Arial" w:eastAsiaTheme="minorEastAsia" w:hAnsi="Arial" w:cs="Arial"/>
                <w:b/>
                <w:lang w:val="en-US" w:eastAsia="ja-JP"/>
              </w:rPr>
            </w:pPr>
            <w:r>
              <w:rPr>
                <w:rFonts w:ascii="Arial" w:eastAsiaTheme="minorEastAsia" w:hAnsi="Arial" w:cs="Arial"/>
                <w:b/>
                <w:lang w:val="en-US" w:eastAsia="ja-JP"/>
              </w:rPr>
              <w:t>Overall impact to be evaluated end of academic year 2021.</w:t>
            </w:r>
          </w:p>
          <w:p>
            <w:pPr>
              <w:spacing w:before="120" w:after="120"/>
              <w:rPr>
                <w:rFonts w:ascii="Arial" w:eastAsiaTheme="minorEastAsia" w:hAnsi="Arial" w:cs="Arial"/>
                <w:lang w:val="en-US" w:eastAsia="ja-JP"/>
              </w:rPr>
            </w:pPr>
            <w:r>
              <w:rPr>
                <w:rFonts w:ascii="Arial" w:eastAsiaTheme="minorEastAsia" w:hAnsi="Arial" w:cs="Arial"/>
                <w:lang w:val="en-US" w:eastAsia="ja-JP"/>
              </w:rPr>
              <w:t>Autumn Term review</w:t>
            </w:r>
          </w:p>
          <w:p>
            <w:pPr>
              <w:pStyle w:val="ListParagraph"/>
              <w:numPr>
                <w:ilvl w:val="0"/>
                <w:numId w:val="25"/>
              </w:numPr>
              <w:spacing w:before="120" w:after="120"/>
              <w:rPr>
                <w:rFonts w:ascii="Arial" w:eastAsiaTheme="minorEastAsia" w:hAnsi="Arial" w:cs="Arial"/>
                <w:lang w:val="en-US" w:eastAsia="ja-JP"/>
              </w:rPr>
            </w:pPr>
            <w:r>
              <w:rPr>
                <w:rFonts w:ascii="Arial" w:eastAsiaTheme="minorEastAsia" w:hAnsi="Arial" w:cs="Arial"/>
                <w:lang w:val="en-US" w:eastAsia="ja-JP"/>
              </w:rPr>
              <w:t>Increased %pupils reaching ARE from September baseline</w:t>
            </w:r>
          </w:p>
          <w:p>
            <w:pPr>
              <w:pStyle w:val="ListParagraph"/>
              <w:numPr>
                <w:ilvl w:val="0"/>
                <w:numId w:val="25"/>
              </w:numPr>
              <w:spacing w:before="120" w:after="120"/>
              <w:rPr>
                <w:rFonts w:ascii="Arial" w:eastAsiaTheme="minorEastAsia" w:hAnsi="Arial" w:cs="Arial"/>
                <w:lang w:val="en-US" w:eastAsia="ja-JP"/>
              </w:rPr>
            </w:pPr>
            <w:r>
              <w:rPr>
                <w:rFonts w:ascii="Arial" w:eastAsiaTheme="minorEastAsia" w:hAnsi="Arial" w:cs="Arial"/>
                <w:lang w:val="en-US" w:eastAsia="ja-JP"/>
              </w:rPr>
              <w:t>Catch-up bundles supported pupils and their parents/</w:t>
            </w:r>
            <w:proofErr w:type="spellStart"/>
            <w:r>
              <w:rPr>
                <w:rFonts w:ascii="Arial" w:eastAsiaTheme="minorEastAsia" w:hAnsi="Arial" w:cs="Arial"/>
                <w:lang w:val="en-US" w:eastAsia="ja-JP"/>
              </w:rPr>
              <w:t>carers</w:t>
            </w:r>
            <w:proofErr w:type="spellEnd"/>
            <w:r>
              <w:rPr>
                <w:rFonts w:ascii="Arial" w:eastAsiaTheme="minorEastAsia" w:hAnsi="Arial" w:cs="Arial"/>
                <w:lang w:val="en-US" w:eastAsia="ja-JP"/>
              </w:rPr>
              <w:t xml:space="preserve"> during isolation periods</w:t>
            </w:r>
          </w:p>
          <w:p>
            <w:pPr>
              <w:rPr>
                <w:rFonts w:ascii="Arial" w:eastAsiaTheme="minorEastAsia" w:hAnsi="Arial" w:cs="Arial"/>
                <w:lang w:val="en-US" w:eastAsia="ja-JP"/>
              </w:rPr>
            </w:pPr>
            <w:r>
              <w:rPr>
                <w:rFonts w:ascii="Arial" w:eastAsiaTheme="minorEastAsia" w:hAnsi="Arial" w:cs="Arial"/>
                <w:lang w:val="en-US" w:eastAsia="ja-JP"/>
              </w:rPr>
              <w:t xml:space="preserve">Spring Term review </w:t>
            </w:r>
          </w:p>
          <w:p>
            <w:pPr>
              <w:pStyle w:val="ListParagraph"/>
              <w:numPr>
                <w:ilvl w:val="0"/>
                <w:numId w:val="25"/>
              </w:numPr>
              <w:rPr>
                <w:rFonts w:ascii="Arial" w:eastAsiaTheme="minorEastAsia" w:hAnsi="Arial" w:cs="Arial"/>
                <w:lang w:val="en-US" w:eastAsia="ja-JP"/>
              </w:rPr>
            </w:pPr>
            <w:r>
              <w:rPr>
                <w:rFonts w:ascii="Arial" w:eastAsiaTheme="minorEastAsia" w:hAnsi="Arial" w:cs="Arial"/>
                <w:lang w:val="en-US" w:eastAsia="ja-JP"/>
              </w:rPr>
              <w:t>%pupils working at ARE dropped since December assessment (lockdown 10 weeks)</w:t>
            </w:r>
          </w:p>
          <w:p>
            <w:pPr>
              <w:pStyle w:val="ListParagraph"/>
              <w:numPr>
                <w:ilvl w:val="0"/>
                <w:numId w:val="25"/>
              </w:numPr>
              <w:rPr>
                <w:rFonts w:ascii="Arial" w:eastAsiaTheme="minorEastAsia" w:hAnsi="Arial" w:cs="Arial"/>
                <w:lang w:val="en-US" w:eastAsia="ja-JP"/>
              </w:rPr>
            </w:pPr>
            <w:r>
              <w:rPr>
                <w:rFonts w:ascii="Arial" w:eastAsiaTheme="minorEastAsia" w:hAnsi="Arial" w:cs="Arial"/>
                <w:lang w:val="en-US" w:eastAsia="ja-JP"/>
              </w:rPr>
              <w:t xml:space="preserve">Technology resources including online teaching resources were crucial during lockdown for pupils to access high quality resources and receive immediate feedback, in addition, teachers were able to assess which areas of learning pupils understood or needed further support </w:t>
            </w:r>
          </w:p>
          <w:p>
            <w:pPr>
              <w:pStyle w:val="ListParagraph"/>
              <w:numPr>
                <w:ilvl w:val="0"/>
                <w:numId w:val="25"/>
              </w:numPr>
              <w:rPr>
                <w:rFonts w:ascii="Arial" w:eastAsiaTheme="minorEastAsia" w:hAnsi="Arial" w:cs="Arial"/>
                <w:lang w:val="en-US" w:eastAsia="ja-JP"/>
              </w:rPr>
            </w:pPr>
            <w:r>
              <w:rPr>
                <w:rFonts w:ascii="Arial" w:eastAsiaTheme="minorEastAsia" w:hAnsi="Arial" w:cs="Arial"/>
                <w:lang w:val="en-US" w:eastAsia="ja-JP"/>
              </w:rPr>
              <w:t xml:space="preserve">Use of online resources adapted during the Spring term to ensure they were </w:t>
            </w:r>
            <w:proofErr w:type="spellStart"/>
            <w:r>
              <w:rPr>
                <w:rFonts w:ascii="Arial" w:eastAsiaTheme="minorEastAsia" w:hAnsi="Arial" w:cs="Arial"/>
                <w:lang w:val="en-US" w:eastAsia="ja-JP"/>
              </w:rPr>
              <w:t>utilised</w:t>
            </w:r>
            <w:proofErr w:type="spellEnd"/>
            <w:r>
              <w:rPr>
                <w:rFonts w:ascii="Arial" w:eastAsiaTheme="minorEastAsia" w:hAnsi="Arial" w:cs="Arial"/>
                <w:lang w:val="en-US" w:eastAsia="ja-JP"/>
              </w:rPr>
              <w:t xml:space="preserve"> when all children returned to school</w:t>
            </w:r>
          </w:p>
          <w:p>
            <w:pPr>
              <w:pStyle w:val="ListParagraph"/>
              <w:numPr>
                <w:ilvl w:val="0"/>
                <w:numId w:val="25"/>
              </w:numPr>
              <w:rPr>
                <w:rFonts w:ascii="Arial" w:eastAsiaTheme="minorEastAsia" w:hAnsi="Arial" w:cs="Arial"/>
                <w:lang w:val="en-US" w:eastAsia="ja-JP"/>
              </w:rPr>
            </w:pPr>
            <w:r>
              <w:rPr>
                <w:rFonts w:ascii="Arial" w:eastAsiaTheme="minorEastAsia" w:hAnsi="Arial" w:cs="Arial"/>
                <w:lang w:val="en-US" w:eastAsia="ja-JP"/>
              </w:rPr>
              <w:t>Well-being support crucial in order to reach out to families not engaging and to support vulnerable pupils on return to school when fully opened</w:t>
            </w:r>
            <w:r>
              <w:rPr>
                <w:rFonts w:ascii="Arial" w:eastAsiaTheme="minorEastAsia" w:hAnsi="Arial" w:cs="Arial"/>
                <w:lang w:val="en-US" w:eastAsia="ja-JP"/>
              </w:rPr>
              <w:tab/>
            </w:r>
          </w:p>
        </w:tc>
      </w:tr>
      <w:tr>
        <w:trPr>
          <w:trHeight w:val="391"/>
          <w:jc w:val="center"/>
        </w:trPr>
        <w:tc>
          <w:tcPr>
            <w:tcW w:w="13936" w:type="dxa"/>
            <w:gridSpan w:val="2"/>
            <w:shd w:val="clear" w:color="auto" w:fill="0070C0"/>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How will changes be communicated to parents and stakeholders?</w:t>
            </w:r>
          </w:p>
        </w:tc>
      </w:tr>
      <w:tr>
        <w:trPr>
          <w:trHeight w:val="1560"/>
          <w:jc w:val="center"/>
        </w:trPr>
        <w:tc>
          <w:tcPr>
            <w:tcW w:w="13936" w:type="dxa"/>
            <w:gridSpan w:val="2"/>
          </w:tcPr>
          <w:p>
            <w:pPr>
              <w:rPr>
                <w:rFonts w:ascii="Arial" w:eastAsiaTheme="minorEastAsia" w:hAnsi="Arial" w:cs="Arial"/>
                <w:lang w:val="en-US" w:eastAsia="ja-JP"/>
              </w:rPr>
            </w:pPr>
            <w:r>
              <w:rPr>
                <w:rFonts w:ascii="Arial" w:eastAsiaTheme="minorEastAsia" w:hAnsi="Arial" w:cs="Arial"/>
                <w:lang w:val="en-US" w:eastAsia="ja-JP"/>
              </w:rPr>
              <w:t>Termly updates provided via reports/newsletters.</w:t>
            </w:r>
            <w:r>
              <w:rPr>
                <w:rFonts w:ascii="Arial" w:eastAsiaTheme="minorEastAsia" w:hAnsi="Arial" w:cs="Arial"/>
                <w:lang w:val="en-US" w:eastAsia="ja-JP"/>
              </w:rPr>
              <w:tab/>
            </w:r>
          </w:p>
        </w:tc>
      </w:tr>
      <w:tr>
        <w:trPr>
          <w:trHeight w:val="522"/>
          <w:jc w:val="center"/>
        </w:trPr>
        <w:tc>
          <w:tcPr>
            <w:tcW w:w="13936" w:type="dxa"/>
            <w:gridSpan w:val="2"/>
            <w:shd w:val="clear" w:color="auto" w:fill="0070C0"/>
          </w:tcPr>
          <w:p>
            <w:pPr>
              <w:spacing w:before="120" w:after="120"/>
              <w:jc w:val="center"/>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t>Final comments</w:t>
            </w:r>
          </w:p>
        </w:tc>
      </w:tr>
      <w:tr>
        <w:trPr>
          <w:trHeight w:val="1692"/>
          <w:jc w:val="center"/>
        </w:trPr>
        <w:tc>
          <w:tcPr>
            <w:tcW w:w="13936" w:type="dxa"/>
            <w:gridSpan w:val="2"/>
          </w:tcPr>
          <w:p>
            <w:pPr>
              <w:spacing w:before="120" w:after="120"/>
              <w:rPr>
                <w:rFonts w:ascii="Arial" w:eastAsiaTheme="minorEastAsia" w:hAnsi="Arial" w:cs="Arial"/>
                <w:b/>
                <w:lang w:val="en-US" w:eastAsia="ja-JP"/>
              </w:rPr>
            </w:pPr>
            <w:r>
              <w:rPr>
                <w:rFonts w:ascii="Arial" w:eastAsiaTheme="minorEastAsia" w:hAnsi="Arial" w:cs="Arial"/>
                <w:b/>
                <w:lang w:val="en-US" w:eastAsia="ja-JP"/>
              </w:rPr>
              <w:t>£1839.50 carried over September 2021</w:t>
            </w:r>
            <w:bookmarkStart w:id="2" w:name="_GoBack"/>
            <w:bookmarkEnd w:id="2"/>
          </w:p>
        </w:tc>
      </w:tr>
      <w:tr>
        <w:trPr>
          <w:trHeight w:val="426"/>
          <w:jc w:val="center"/>
        </w:trPr>
        <w:tc>
          <w:tcPr>
            <w:tcW w:w="6658" w:type="dxa"/>
            <w:shd w:val="clear" w:color="auto" w:fill="0070C0"/>
          </w:tcPr>
          <w:p>
            <w:pPr>
              <w:spacing w:before="120" w:after="120"/>
              <w:jc w:val="right"/>
              <w:rPr>
                <w:rFonts w:ascii="Arial" w:eastAsiaTheme="minorEastAsia" w:hAnsi="Arial" w:cs="Arial"/>
                <w:b/>
                <w:color w:val="FFFFFF" w:themeColor="background1"/>
                <w:lang w:val="en-US" w:eastAsia="ja-JP"/>
              </w:rPr>
            </w:pPr>
            <w:r>
              <w:rPr>
                <w:rFonts w:ascii="Arial" w:eastAsiaTheme="minorEastAsia" w:hAnsi="Arial" w:cs="Arial"/>
                <w:b/>
                <w:color w:val="FFFFFF" w:themeColor="background1"/>
                <w:lang w:val="en-US" w:eastAsia="ja-JP"/>
              </w:rPr>
              <w:lastRenderedPageBreak/>
              <w:t>Final spend:</w:t>
            </w:r>
          </w:p>
        </w:tc>
        <w:tc>
          <w:tcPr>
            <w:tcW w:w="7278" w:type="dxa"/>
          </w:tcPr>
          <w:p>
            <w:pPr>
              <w:spacing w:before="120" w:after="120"/>
              <w:rPr>
                <w:rFonts w:ascii="Arial" w:eastAsiaTheme="minorEastAsia" w:hAnsi="Arial" w:cs="Arial"/>
                <w:b/>
                <w:lang w:val="en-US" w:eastAsia="ja-JP"/>
              </w:rPr>
            </w:pPr>
            <w:r>
              <w:rPr>
                <w:rFonts w:ascii="Arial" w:eastAsiaTheme="minorEastAsia" w:hAnsi="Arial" w:cs="Arial"/>
                <w:b/>
                <w:lang w:val="en-US" w:eastAsia="ja-JP"/>
              </w:rPr>
              <w:t>£9280.50</w:t>
            </w:r>
          </w:p>
        </w:tc>
      </w:tr>
    </w:tbl>
    <w:p>
      <w:pPr>
        <w:rPr>
          <w:rFonts w:ascii="Arial" w:eastAsiaTheme="minorEastAsia" w:hAnsi="Arial" w:cs="Arial"/>
          <w:b/>
          <w:lang w:val="en-US" w:eastAsia="ja-JP"/>
        </w:rPr>
      </w:pPr>
    </w:p>
    <w:sectPr>
      <w:headerReference w:type="first" r:id="rId22"/>
      <w:pgSz w:w="16838" w:h="11906" w:orient="landscape"/>
      <w:pgMar w:top="-1297" w:right="1440" w:bottom="709" w:left="1440" w:header="0" w:footer="1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r>
      <w:rPr>
        <w:noProof/>
        <w:lang w:eastAsia="en-GB"/>
      </w:rPr>
      <w:drawing>
        <wp:anchor distT="0" distB="0" distL="114300" distR="114300" simplePos="0" relativeHeight="251659264" behindDoc="0" locked="0" layoutInCell="1" allowOverlap="1">
          <wp:simplePos x="0" y="0"/>
          <wp:positionH relativeFrom="margin">
            <wp:posOffset>7153275</wp:posOffset>
          </wp:positionH>
          <wp:positionV relativeFrom="paragraph">
            <wp:posOffset>76200</wp:posOffset>
          </wp:positionV>
          <wp:extent cx="1870178" cy="838142"/>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SA-logo-primar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0178" cy="838142"/>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extent cx="1776549" cy="928138"/>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xtol-Academy-Trust-logo (2).jpg"/>
                  <pic:cNvPicPr/>
                </pic:nvPicPr>
                <pic:blipFill>
                  <a:blip r:embed="rId2">
                    <a:extLst>
                      <a:ext uri="{28A0092B-C50C-407E-A947-70E740481C1C}">
                        <a14:useLocalDpi xmlns:a14="http://schemas.microsoft.com/office/drawing/2010/main" val="0"/>
                      </a:ext>
                    </a:extLst>
                  </a:blip>
                  <a:stretch>
                    <a:fillRect/>
                  </a:stretch>
                </pic:blipFill>
                <pic:spPr>
                  <a:xfrm>
                    <a:off x="0" y="0"/>
                    <a:ext cx="1787998" cy="9341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7B52"/>
    <w:multiLevelType w:val="hybridMultilevel"/>
    <w:tmpl w:val="82B62620"/>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4521CD"/>
    <w:multiLevelType w:val="hybridMultilevel"/>
    <w:tmpl w:val="D5AEF6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7EA582A"/>
    <w:multiLevelType w:val="multilevel"/>
    <w:tmpl w:val="38521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2C2431"/>
    <w:multiLevelType w:val="hybridMultilevel"/>
    <w:tmpl w:val="3B5CC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53375D3"/>
    <w:multiLevelType w:val="hybridMultilevel"/>
    <w:tmpl w:val="7AFEDC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BCE4527"/>
    <w:multiLevelType w:val="hybridMultilevel"/>
    <w:tmpl w:val="19BA47C6"/>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A3356B"/>
    <w:multiLevelType w:val="hybridMultilevel"/>
    <w:tmpl w:val="FA682662"/>
    <w:lvl w:ilvl="0" w:tplc="8014F67E">
      <w:start w:val="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7B038E"/>
    <w:multiLevelType w:val="hybridMultilevel"/>
    <w:tmpl w:val="9D9CEA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284D97"/>
    <w:multiLevelType w:val="hybridMultilevel"/>
    <w:tmpl w:val="41BEA91C"/>
    <w:lvl w:ilvl="0" w:tplc="69264090">
      <w:start w:val="1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0E46E9"/>
    <w:multiLevelType w:val="hybridMultilevel"/>
    <w:tmpl w:val="3404F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813E4A"/>
    <w:multiLevelType w:val="hybridMultilevel"/>
    <w:tmpl w:val="D93C88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D86110A"/>
    <w:multiLevelType w:val="hybridMultilevel"/>
    <w:tmpl w:val="C42661A4"/>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60664F"/>
    <w:multiLevelType w:val="hybridMultilevel"/>
    <w:tmpl w:val="71EAB9B6"/>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3" w15:restartNumberingAfterBreak="0">
    <w:nsid w:val="42211F29"/>
    <w:multiLevelType w:val="hybridMultilevel"/>
    <w:tmpl w:val="2A0A0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EA67C2"/>
    <w:multiLevelType w:val="hybridMultilevel"/>
    <w:tmpl w:val="989AD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C34268F"/>
    <w:multiLevelType w:val="hybridMultilevel"/>
    <w:tmpl w:val="2278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BE24BF"/>
    <w:multiLevelType w:val="hybridMultilevel"/>
    <w:tmpl w:val="180A779C"/>
    <w:lvl w:ilvl="0" w:tplc="3BE64442">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7" w15:restartNumberingAfterBreak="0">
    <w:nsid w:val="5372066B"/>
    <w:multiLevelType w:val="hybridMultilevel"/>
    <w:tmpl w:val="EBBAF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7F1C16"/>
    <w:multiLevelType w:val="hybridMultilevel"/>
    <w:tmpl w:val="3EF6D4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5274DBB"/>
    <w:multiLevelType w:val="hybridMultilevel"/>
    <w:tmpl w:val="796A65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78B1D07"/>
    <w:multiLevelType w:val="hybridMultilevel"/>
    <w:tmpl w:val="957893B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21" w15:restartNumberingAfterBreak="0">
    <w:nsid w:val="6CA95E25"/>
    <w:multiLevelType w:val="multilevel"/>
    <w:tmpl w:val="1284D1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E44050E"/>
    <w:multiLevelType w:val="hybridMultilevel"/>
    <w:tmpl w:val="3C667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18A1935"/>
    <w:multiLevelType w:val="hybridMultilevel"/>
    <w:tmpl w:val="89E0D4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3152C73"/>
    <w:multiLevelType w:val="hybridMultilevel"/>
    <w:tmpl w:val="D37E3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BA3903"/>
    <w:multiLevelType w:val="hybridMultilevel"/>
    <w:tmpl w:val="E3001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7"/>
  </w:num>
  <w:num w:numId="4">
    <w:abstractNumId w:val="0"/>
  </w:num>
  <w:num w:numId="5">
    <w:abstractNumId w:val="11"/>
  </w:num>
  <w:num w:numId="6">
    <w:abstractNumId w:val="5"/>
  </w:num>
  <w:num w:numId="7">
    <w:abstractNumId w:val="24"/>
  </w:num>
  <w:num w:numId="8">
    <w:abstractNumId w:val="15"/>
  </w:num>
  <w:num w:numId="9">
    <w:abstractNumId w:val="8"/>
  </w:num>
  <w:num w:numId="10">
    <w:abstractNumId w:val="16"/>
  </w:num>
  <w:num w:numId="11">
    <w:abstractNumId w:val="3"/>
  </w:num>
  <w:num w:numId="12">
    <w:abstractNumId w:val="18"/>
  </w:num>
  <w:num w:numId="13">
    <w:abstractNumId w:val="4"/>
  </w:num>
  <w:num w:numId="14">
    <w:abstractNumId w:val="23"/>
  </w:num>
  <w:num w:numId="15">
    <w:abstractNumId w:val="10"/>
  </w:num>
  <w:num w:numId="16">
    <w:abstractNumId w:val="22"/>
  </w:num>
  <w:num w:numId="17">
    <w:abstractNumId w:val="19"/>
  </w:num>
  <w:num w:numId="18">
    <w:abstractNumId w:val="25"/>
  </w:num>
  <w:num w:numId="19">
    <w:abstractNumId w:val="1"/>
  </w:num>
  <w:num w:numId="20">
    <w:abstractNumId w:val="20"/>
  </w:num>
  <w:num w:numId="21">
    <w:abstractNumId w:val="12"/>
  </w:num>
  <w:num w:numId="22">
    <w:abstractNumId w:val="14"/>
  </w:num>
  <w:num w:numId="23">
    <w:abstractNumId w:val="7"/>
  </w:num>
  <w:num w:numId="24">
    <w:abstractNumId w:val="21"/>
  </w:num>
  <w:num w:numId="25">
    <w:abstractNumId w:val="6"/>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E1t7C0MDMxNDK3MLJQ0lEKTi0uzszPAymwqAUAWhPbLiwAAAA="/>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5:docId w15:val="{E808BDC5-119E-46ED-9125-AD1917AAE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2F30"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pPr>
      <w:ind w:left="720"/>
      <w:contextualSpacing/>
    </w:pPr>
  </w:style>
  <w:style w:type="table" w:styleId="LightGrid">
    <w:name w:val="Light Grid"/>
    <w:basedOn w:val="TableNormal"/>
    <w:uiPriority w:val="6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F2F2F2" w:themeFill="background1" w:themeFillShade="F2"/>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0000FF" w:themeColor="followed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2F30" w:themeColor="accent1" w:themeShade="BF"/>
      <w:sz w:val="32"/>
      <w:szCs w:val="32"/>
    </w:rPr>
  </w:style>
  <w:style w:type="character" w:styleId="UnresolvedMention">
    <w:name w:val="Unresolved Mention"/>
    <w:basedOn w:val="DefaultParagraphFont"/>
    <w:uiPriority w:val="99"/>
    <w:semiHidden/>
    <w:unhideWhenUsed/>
    <w:rPr>
      <w:color w:val="605E5C"/>
      <w:shd w:val="clear" w:color="auto" w:fill="E1DFDD"/>
    </w:rPr>
  </w:style>
  <w:style w:type="paragraph" w:styleId="Revision">
    <w:name w:val="Revision"/>
    <w:hidden/>
    <w:uiPriority w:val="99"/>
    <w:semiHidden/>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138174">
      <w:bodyDiv w:val="1"/>
      <w:marLeft w:val="0"/>
      <w:marRight w:val="0"/>
      <w:marTop w:val="0"/>
      <w:marBottom w:val="0"/>
      <w:divBdr>
        <w:top w:val="none" w:sz="0" w:space="0" w:color="auto"/>
        <w:left w:val="none" w:sz="0" w:space="0" w:color="auto"/>
        <w:bottom w:val="none" w:sz="0" w:space="0" w:color="auto"/>
        <w:right w:val="none" w:sz="0" w:space="0" w:color="auto"/>
      </w:divBdr>
    </w:div>
    <w:div w:id="194275766">
      <w:bodyDiv w:val="1"/>
      <w:marLeft w:val="0"/>
      <w:marRight w:val="0"/>
      <w:marTop w:val="0"/>
      <w:marBottom w:val="0"/>
      <w:divBdr>
        <w:top w:val="none" w:sz="0" w:space="0" w:color="auto"/>
        <w:left w:val="none" w:sz="0" w:space="0" w:color="auto"/>
        <w:bottom w:val="none" w:sz="0" w:space="0" w:color="auto"/>
        <w:right w:val="none" w:sz="0" w:space="0" w:color="auto"/>
      </w:divBdr>
    </w:div>
    <w:div w:id="244723741">
      <w:bodyDiv w:val="1"/>
      <w:marLeft w:val="0"/>
      <w:marRight w:val="0"/>
      <w:marTop w:val="0"/>
      <w:marBottom w:val="0"/>
      <w:divBdr>
        <w:top w:val="none" w:sz="0" w:space="0" w:color="auto"/>
        <w:left w:val="none" w:sz="0" w:space="0" w:color="auto"/>
        <w:bottom w:val="none" w:sz="0" w:space="0" w:color="auto"/>
        <w:right w:val="none" w:sz="0" w:space="0" w:color="auto"/>
      </w:divBdr>
    </w:div>
    <w:div w:id="297036286">
      <w:bodyDiv w:val="1"/>
      <w:marLeft w:val="0"/>
      <w:marRight w:val="0"/>
      <w:marTop w:val="0"/>
      <w:marBottom w:val="0"/>
      <w:divBdr>
        <w:top w:val="none" w:sz="0" w:space="0" w:color="auto"/>
        <w:left w:val="none" w:sz="0" w:space="0" w:color="auto"/>
        <w:bottom w:val="none" w:sz="0" w:space="0" w:color="auto"/>
        <w:right w:val="none" w:sz="0" w:space="0" w:color="auto"/>
      </w:divBdr>
    </w:div>
    <w:div w:id="359666074">
      <w:bodyDiv w:val="1"/>
      <w:marLeft w:val="0"/>
      <w:marRight w:val="0"/>
      <w:marTop w:val="0"/>
      <w:marBottom w:val="0"/>
      <w:divBdr>
        <w:top w:val="none" w:sz="0" w:space="0" w:color="auto"/>
        <w:left w:val="none" w:sz="0" w:space="0" w:color="auto"/>
        <w:bottom w:val="none" w:sz="0" w:space="0" w:color="auto"/>
        <w:right w:val="none" w:sz="0" w:space="0" w:color="auto"/>
      </w:divBdr>
    </w:div>
    <w:div w:id="558905249">
      <w:bodyDiv w:val="1"/>
      <w:marLeft w:val="0"/>
      <w:marRight w:val="0"/>
      <w:marTop w:val="0"/>
      <w:marBottom w:val="0"/>
      <w:divBdr>
        <w:top w:val="none" w:sz="0" w:space="0" w:color="auto"/>
        <w:left w:val="none" w:sz="0" w:space="0" w:color="auto"/>
        <w:bottom w:val="none" w:sz="0" w:space="0" w:color="auto"/>
        <w:right w:val="none" w:sz="0" w:space="0" w:color="auto"/>
      </w:divBdr>
    </w:div>
    <w:div w:id="931469160">
      <w:bodyDiv w:val="1"/>
      <w:marLeft w:val="0"/>
      <w:marRight w:val="0"/>
      <w:marTop w:val="0"/>
      <w:marBottom w:val="0"/>
      <w:divBdr>
        <w:top w:val="none" w:sz="0" w:space="0" w:color="auto"/>
        <w:left w:val="none" w:sz="0" w:space="0" w:color="auto"/>
        <w:bottom w:val="none" w:sz="0" w:space="0" w:color="auto"/>
        <w:right w:val="none" w:sz="0" w:space="0" w:color="auto"/>
      </w:divBdr>
    </w:div>
    <w:div w:id="1429740980">
      <w:bodyDiv w:val="1"/>
      <w:marLeft w:val="0"/>
      <w:marRight w:val="0"/>
      <w:marTop w:val="0"/>
      <w:marBottom w:val="0"/>
      <w:divBdr>
        <w:top w:val="none" w:sz="0" w:space="0" w:color="auto"/>
        <w:left w:val="none" w:sz="0" w:space="0" w:color="auto"/>
        <w:bottom w:val="none" w:sz="0" w:space="0" w:color="auto"/>
        <w:right w:val="none" w:sz="0" w:space="0" w:color="auto"/>
      </w:divBdr>
    </w:div>
    <w:div w:id="157470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arah.mincher@newsilksworthacademy.co.uk" TargetMode="External"/><Relationship Id="rId18" Type="http://schemas.openxmlformats.org/officeDocument/2006/relationships/hyperlink" Target="mailto:Sarah.mincher@newsilksworthacademy.co.uk" TargetMode="External"/><Relationship Id="rId3" Type="http://schemas.openxmlformats.org/officeDocument/2006/relationships/customXml" Target="../customXml/item3.xml"/><Relationship Id="rId21" Type="http://schemas.openxmlformats.org/officeDocument/2006/relationships/hyperlink" Target="mailto:headteacher@newsilksworthacademy.co.uk" TargetMode="External"/><Relationship Id="rId7" Type="http://schemas.openxmlformats.org/officeDocument/2006/relationships/settings" Target="settings.xml"/><Relationship Id="rId12" Type="http://schemas.openxmlformats.org/officeDocument/2006/relationships/hyperlink" Target="mailto:headteacher@newsilksworthacademy.co.uk" TargetMode="External"/><Relationship Id="rId17" Type="http://schemas.openxmlformats.org/officeDocument/2006/relationships/hyperlink" Target="mailto:headteacher@newsilksworthacademy.co.uk" TargetMode="External"/><Relationship Id="rId2" Type="http://schemas.openxmlformats.org/officeDocument/2006/relationships/customXml" Target="../customXml/item2.xml"/><Relationship Id="rId16" Type="http://schemas.openxmlformats.org/officeDocument/2006/relationships/hyperlink" Target="mailto:debra.ridley@newsilksworthacademy.co.uk" TargetMode="External"/><Relationship Id="rId20" Type="http://schemas.openxmlformats.org/officeDocument/2006/relationships/hyperlink" Target="mailto:headteacher@newsilksworthacademy.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covid-19-resources/guide-to-supporting-schools-planning/"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emma.seaman@newsilksworthacademy.co.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emma.seaman@newsilksworthacademy.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mma.seaman@newsilksworthacademy.co.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TheSchoolBus">
      <a:dk1>
        <a:sysClr val="windowText" lastClr="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F0CFC472D5BE49818FF452A6AFC29E" ma:contentTypeVersion="7" ma:contentTypeDescription="Create a new document." ma:contentTypeScope="" ma:versionID="8e56229049499a04aa7cb23a126f66a3">
  <xsd:schema xmlns:xsd="http://www.w3.org/2001/XMLSchema" xmlns:xs="http://www.w3.org/2001/XMLSchema" xmlns:p="http://schemas.microsoft.com/office/2006/metadata/properties" xmlns:ns2="1da8d8e9-39ad-43f8-8bec-0deea523c19f" xmlns:ns3="87b02dcf-bb51-4b42-be51-a0cb5f449af4" targetNamespace="http://schemas.microsoft.com/office/2006/metadata/properties" ma:root="true" ma:fieldsID="6fd2deabf693e9ba6b0e18b2b4015abd" ns2:_="" ns3:_="">
    <xsd:import namespace="1da8d8e9-39ad-43f8-8bec-0deea523c19f"/>
    <xsd:import namespace="87b02dcf-bb51-4b42-be51-a0cb5f449af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a8d8e9-39ad-43f8-8bec-0deea523c19f" elementFormDefault="qualified">
    <xsd:import namespace="http://schemas.microsoft.com/office/2006/documentManagement/types"/>
    <xsd:import namespace="http://schemas.microsoft.com/office/infopath/2007/PartnerControls"/>
    <xsd:element name="SharedWithUsers" ma:index="8"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7b02dcf-bb51-4b42-be51-a0cb5f449af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29393-EA90-4461-8172-C1AA601514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a8d8e9-39ad-43f8-8bec-0deea523c19f"/>
    <ds:schemaRef ds:uri="87b02dcf-bb51-4b42-be51-a0cb5f449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C0345D-7B9E-4A16-9470-1BFC399962F1}">
  <ds:schemaRefs>
    <ds:schemaRef ds:uri="http://schemas.microsoft.com/sharepoint/v3/contenttype/forms"/>
  </ds:schemaRefs>
</ds:datastoreItem>
</file>

<file path=customXml/itemProps3.xml><?xml version="1.0" encoding="utf-8"?>
<ds:datastoreItem xmlns:ds="http://schemas.openxmlformats.org/officeDocument/2006/customXml" ds:itemID="{4E9C23BE-39C2-4253-858D-AED4D45EBF56}">
  <ds:schemaRefs>
    <ds:schemaRef ds:uri="http://schemas.microsoft.com/office/2006/documentManagement/types"/>
    <ds:schemaRef ds:uri="http://purl.org/dc/terms/"/>
    <ds:schemaRef ds:uri="http://schemas.openxmlformats.org/package/2006/metadata/core-properties"/>
    <ds:schemaRef ds:uri="87b02dcf-bb51-4b42-be51-a0cb5f449af4"/>
    <ds:schemaRef ds:uri="http://purl.org/dc/dcmitype/"/>
    <ds:schemaRef ds:uri="http://schemas.microsoft.com/office/infopath/2007/PartnerControls"/>
    <ds:schemaRef ds:uri="http://purl.org/dc/elements/1.1/"/>
    <ds:schemaRef ds:uri="http://schemas.microsoft.com/office/2006/metadata/properties"/>
    <ds:schemaRef ds:uri="1da8d8e9-39ad-43f8-8bec-0deea523c19f"/>
    <ds:schemaRef ds:uri="http://www.w3.org/XML/1998/namespace"/>
  </ds:schemaRefs>
</ds:datastoreItem>
</file>

<file path=customXml/itemProps4.xml><?xml version="1.0" encoding="utf-8"?>
<ds:datastoreItem xmlns:ds="http://schemas.openxmlformats.org/officeDocument/2006/customXml" ds:itemID="{26D6EFC3-D58C-4E4D-BDD5-D5C6AC419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6</Pages>
  <Words>1378</Words>
  <Characters>7857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 Needham</dc:creator>
  <cp:lastModifiedBy>Emma Robins</cp:lastModifiedBy>
  <cp:revision>6</cp:revision>
  <dcterms:created xsi:type="dcterms:W3CDTF">2021-01-26T12:01:00Z</dcterms:created>
  <dcterms:modified xsi:type="dcterms:W3CDTF">2021-09-24T12:55:00Z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0x01010062F0CFC472D5BE49818FF452A6AFC29E</vt:lpwstr>
  </property>
</Properties>
</file>